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6" w:lineRule="exact"/>
        <w:rPr>
          <w:rFonts w:ascii="仿宋_GB2312"/>
          <w:w w:val="80"/>
          <w:szCs w:val="32"/>
        </w:rPr>
      </w:pPr>
    </w:p>
    <w:p>
      <w:pPr>
        <w:spacing w:line="566" w:lineRule="exact"/>
        <w:rPr>
          <w:rFonts w:ascii="仿宋_GB2312"/>
          <w:w w:val="80"/>
          <w:szCs w:val="32"/>
        </w:rPr>
      </w:pPr>
    </w:p>
    <w:p>
      <w:pPr>
        <w:rPr>
          <w:rFonts w:ascii="方正小标宋简体" w:eastAsia="方正小标宋简体"/>
          <w:sz w:val="44"/>
          <w:szCs w:val="44"/>
        </w:rPr>
      </w:pPr>
      <w:r>
        <w:rPr>
          <w:rFonts w:ascii="宋体" w:hAnsi="宋体" w:eastAsia="宋体"/>
          <w:spacing w:val="-6"/>
        </w:rPr>
        <mc:AlternateContent>
          <mc:Choice Requires="wps">
            <w:drawing>
              <wp:anchor distT="0" distB="0" distL="114300" distR="114300" simplePos="0" relativeHeight="251661312" behindDoc="1" locked="0" layoutInCell="1" allowOverlap="1">
                <wp:simplePos x="0" y="0"/>
                <wp:positionH relativeFrom="column">
                  <wp:posOffset>16510</wp:posOffset>
                </wp:positionH>
                <wp:positionV relativeFrom="page">
                  <wp:posOffset>1016635</wp:posOffset>
                </wp:positionV>
                <wp:extent cx="5599430" cy="701040"/>
                <wp:effectExtent l="0" t="0" r="0" b="0"/>
                <wp:wrapNone/>
                <wp:docPr id="2" name="文本框 4"/>
                <wp:cNvGraphicFramePr/>
                <a:graphic xmlns:a="http://schemas.openxmlformats.org/drawingml/2006/main">
                  <a:graphicData uri="http://schemas.microsoft.com/office/word/2010/wordprocessingShape">
                    <wps:wsp>
                      <wps:cNvSpPr txBox="true"/>
                      <wps:spPr>
                        <a:xfrm>
                          <a:off x="0" y="0"/>
                          <a:ext cx="5599430" cy="701040"/>
                        </a:xfrm>
                        <a:prstGeom prst="rect">
                          <a:avLst/>
                        </a:prstGeom>
                        <a:noFill/>
                        <a:ln>
                          <a:noFill/>
                        </a:ln>
                        <a:effectLst/>
                      </wps:spPr>
                      <wps:txbx>
                        <w:txbxContent>
                          <w:p>
                            <w:pPr>
                              <w:snapToGrid w:val="0"/>
                              <w:jc w:val="distribute"/>
                              <w:rPr>
                                <w:rFonts w:eastAsia="方正小标宋简体"/>
                                <w:b/>
                                <w:color w:val="FF0000"/>
                                <w:w w:val="77"/>
                                <w:sz w:val="80"/>
                                <w:szCs w:val="80"/>
                              </w:rPr>
                            </w:pPr>
                            <w:r>
                              <w:rPr>
                                <w:rFonts w:hint="eastAsia" w:ascii="方正小标宋简体" w:eastAsia="方正小标宋简体"/>
                                <w:b/>
                                <w:color w:val="FF0000"/>
                                <w:w w:val="80"/>
                                <w:sz w:val="80"/>
                                <w:szCs w:val="80"/>
                              </w:rPr>
                              <w:t>商丘市气象局</w:t>
                            </w:r>
                          </w:p>
                        </w:txbxContent>
                      </wps:txbx>
                      <wps:bodyPr lIns="0" tIns="0" rIns="0" bIns="0" upright="true"/>
                    </wps:wsp>
                  </a:graphicData>
                </a:graphic>
              </wp:anchor>
            </w:drawing>
          </mc:Choice>
          <mc:Fallback>
            <w:pict>
              <v:shape id="文本框 4" o:spid="_x0000_s1026" o:spt="202" type="#_x0000_t202" style="position:absolute;left:0pt;margin-left:1.3pt;margin-top:80.05pt;height:55.2pt;width:440.9pt;mso-position-vertical-relative:page;z-index:-251655168;mso-width-relative:page;mso-height-relative:page;" filled="f" stroked="f" coordsize="21600,21600" o:gfxdata="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JYC7+1wAAAAkBAAAPAAAAAAAAAAEAIAAAADgAAABkcnMvZG93bnJldi54bWxQSwEC&#10;FAAUAAAACACHTuJAudWKCaYBAAA4AwAADgAAAAAAAAABACAAAAA8AQAAZHJzL2Uyb0RvYy54bWxQ&#10;SwUGAAAAAAYABgBZAQAAVAUAAAAA&#10;">
                <v:fill on="f" focussize="0,0"/>
                <v:stroke on="f"/>
                <v:imagedata o:title=""/>
                <o:lock v:ext="edit" aspectratio="f"/>
                <v:textbox inset="0mm,0mm,0mm,0mm">
                  <w:txbxContent>
                    <w:p>
                      <w:pPr>
                        <w:snapToGrid w:val="0"/>
                        <w:jc w:val="distribute"/>
                        <w:rPr>
                          <w:rFonts w:eastAsia="方正小标宋简体"/>
                          <w:b/>
                          <w:color w:val="FF0000"/>
                          <w:w w:val="77"/>
                          <w:sz w:val="80"/>
                          <w:szCs w:val="80"/>
                        </w:rPr>
                      </w:pPr>
                      <w:r>
                        <w:rPr>
                          <w:rFonts w:hint="eastAsia" w:ascii="方正小标宋简体" w:eastAsia="方正小标宋简体"/>
                          <w:b/>
                          <w:color w:val="FF0000"/>
                          <w:w w:val="80"/>
                          <w:sz w:val="80"/>
                          <w:szCs w:val="80"/>
                        </w:rPr>
                        <w:t>商丘市气象局</w:t>
                      </w:r>
                    </w:p>
                  </w:txbxContent>
                </v:textbox>
              </v:shape>
            </w:pict>
          </mc:Fallback>
        </mc:AlternateContent>
      </w:r>
      <w:r>
        <w:rPr>
          <w:rFonts w:ascii="仿宋_GB2312"/>
          <w:spacing w:val="-6"/>
        </w:rPr>
        <mc:AlternateContent>
          <mc:Choice Requires="wps">
            <w:drawing>
              <wp:anchor distT="0" distB="0" distL="114300" distR="114300" simplePos="0" relativeHeight="251660288" behindDoc="1" locked="0" layoutInCell="1" allowOverlap="1">
                <wp:simplePos x="0" y="0"/>
                <wp:positionH relativeFrom="column">
                  <wp:posOffset>-263525</wp:posOffset>
                </wp:positionH>
                <wp:positionV relativeFrom="page">
                  <wp:posOffset>1785620</wp:posOffset>
                </wp:positionV>
                <wp:extent cx="6120130" cy="0"/>
                <wp:effectExtent l="0" t="28575" r="13970" b="28575"/>
                <wp:wrapNone/>
                <wp:docPr id="1" name="直线 3"/>
                <wp:cNvGraphicFramePr/>
                <a:graphic xmlns:a="http://schemas.openxmlformats.org/drawingml/2006/main">
                  <a:graphicData uri="http://schemas.microsoft.com/office/word/2010/wordprocessingShape">
                    <wps:wsp>
                      <wps:cNvCnPr/>
                      <wps:spPr>
                        <a:xfrm>
                          <a:off x="0" y="0"/>
                          <a:ext cx="6120130" cy="0"/>
                        </a:xfrm>
                        <a:prstGeom prst="line">
                          <a:avLst/>
                        </a:prstGeom>
                        <a:ln w="57150" cap="flat" cmpd="thickThin">
                          <a:solidFill>
                            <a:srgbClr val="FF0000"/>
                          </a:solidFill>
                          <a:prstDash val="solid"/>
                          <a:headEnd type="none" w="med" len="med"/>
                          <a:tailEnd type="none" w="med" len="med"/>
                        </a:ln>
                        <a:effectLst/>
                      </wps:spPr>
                      <wps:bodyPr upright="true"/>
                    </wps:wsp>
                  </a:graphicData>
                </a:graphic>
              </wp:anchor>
            </w:drawing>
          </mc:Choice>
          <mc:Fallback>
            <w:pict>
              <v:line id="直线 3" o:spid="_x0000_s1026" o:spt="20" style="position:absolute;left:0pt;margin-left:-20.75pt;margin-top:140.6pt;height:0pt;width:481.9pt;mso-position-vertical-relative:page;z-index:-251656192;mso-width-relative:page;mso-height-relative:page;" filled="f" stroked="t" coordsize="21600,21600" o:gfxdata="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IX/EM3VAAAACwEAAA8AAAAAAAAAAQAgAAAAOAAAAGRycy9kb3ducmV2LnhtbFBLAQIUABQAAAAI&#10;AIdO4kBEDQdU2gEAAKUDAAAOAAAAAAAAAAEAIAAAADoBAABkcnMvZTJvRG9jLnhtbFBLBQYAAAAA&#10;BgAGAFkBAACGBQAAAAA=&#10;">
                <v:fill on="f" focussize="0,0"/>
                <v:stroke weight="4.5pt" color="#FF0000" linestyle="thickThin"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商丘市气象局202</w:t>
      </w:r>
      <w:r>
        <w:rPr>
          <w:rFonts w:hint="eastAsia" w:ascii="方正小标宋简体" w:hAnsi="方正小标宋简体" w:eastAsia="方正小标宋简体" w:cs="方正小标宋简体"/>
          <w:bCs/>
          <w:sz w:val="44"/>
          <w:szCs w:val="44"/>
          <w:lang w:val="en-US" w:eastAsia="zh-CN"/>
        </w:rPr>
        <w:t>4</w:t>
      </w:r>
      <w:r>
        <w:rPr>
          <w:rFonts w:hint="eastAsia" w:ascii="方正小标宋简体" w:hAnsi="方正小标宋简体" w:eastAsia="方正小标宋简体" w:cs="方正小标宋简体"/>
          <w:bCs/>
          <w:sz w:val="44"/>
          <w:szCs w:val="44"/>
        </w:rPr>
        <w:t>年度防雷安全监管</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sz w:val="44"/>
          <w:szCs w:val="44"/>
        </w:rPr>
        <w:t>“</w:t>
      </w:r>
      <w:r>
        <w:rPr>
          <w:rFonts w:hint="eastAsia" w:ascii="方正小标宋简体" w:hAnsi="宋体" w:eastAsia="方正小标宋简体" w:cs="Times New Roman"/>
          <w:kern w:val="0"/>
          <w:sz w:val="44"/>
          <w:szCs w:val="44"/>
          <w:lang w:eastAsia="zh-CN"/>
        </w:rPr>
        <w:t>双随机、一公开</w:t>
      </w:r>
      <w:r>
        <w:rPr>
          <w:rFonts w:hint="eastAsia" w:ascii="方正小标宋简体" w:hAnsi="方正小标宋简体" w:eastAsia="方正小标宋简体" w:cs="方正小标宋简体"/>
          <w:bCs/>
          <w:sz w:val="44"/>
          <w:szCs w:val="44"/>
        </w:rPr>
        <w:t>”抽查实施方案</w:t>
      </w:r>
    </w:p>
    <w:p>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仿宋_GB2312" w:hAnsi="微软雅黑" w:eastAsia="仿宋_GB2312" w:cs="宋体"/>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为贯彻落实</w:t>
      </w:r>
      <w:r>
        <w:rPr>
          <w:rFonts w:hint="eastAsia" w:ascii="仿宋_GB2312" w:hAnsi="Calibri" w:eastAsia="仿宋_GB2312"/>
          <w:sz w:val="32"/>
          <w:szCs w:val="32"/>
        </w:rPr>
        <w:t>《国务院办公厅关于推广随机抽查规范事中事后监管的通知》（国办发〔2015〕58号）和《中国气象局随机抽查规范事中事后监管工作实施方案</w:t>
      </w:r>
      <w:r>
        <w:rPr>
          <w:rFonts w:hint="eastAsia" w:ascii="仿宋_GB2312" w:hAnsi="Calibri" w:eastAsia="仿宋_GB2312"/>
          <w:color w:val="000000"/>
          <w:sz w:val="32"/>
          <w:szCs w:val="32"/>
        </w:rPr>
        <w:t>》</w:t>
      </w:r>
      <w:r>
        <w:rPr>
          <w:rFonts w:hint="eastAsia" w:ascii="仿宋_GB2312" w:hAnsi="Calibri" w:eastAsia="仿宋_GB2312"/>
          <w:sz w:val="32"/>
          <w:szCs w:val="32"/>
        </w:rPr>
        <w:t>（</w:t>
      </w:r>
      <w:r>
        <w:rPr>
          <w:rFonts w:hint="eastAsia" w:ascii="仿宋_GB2312" w:hAnsi="Calibri" w:eastAsia="仿宋_GB2312"/>
          <w:color w:val="000000"/>
          <w:sz w:val="32"/>
          <w:szCs w:val="32"/>
        </w:rPr>
        <w:t>气</w:t>
      </w:r>
      <w:r>
        <w:rPr>
          <w:rFonts w:hint="eastAsia" w:ascii="仿宋_GB2312" w:hAnsi="Calibri" w:eastAsia="仿宋_GB2312"/>
          <w:sz w:val="32"/>
          <w:szCs w:val="32"/>
        </w:rPr>
        <w:t>办发〔2015〕43号）</w:t>
      </w:r>
      <w:r>
        <w:rPr>
          <w:rFonts w:hint="eastAsia" w:ascii="仿宋_GB2312" w:hAnsi="微软雅黑" w:eastAsia="仿宋_GB2312" w:cs="宋体"/>
          <w:color w:val="000000"/>
          <w:kern w:val="0"/>
          <w:sz w:val="32"/>
          <w:szCs w:val="32"/>
        </w:rPr>
        <w:t>文件精神，加强和规范防雷安全监管工作，保护国家利益和人民生命财产安全，根据年度工作安排，结合我市实际，制定本方案。</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一、指导思想</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认真贯彻党中央、国务院、省委省政府</w:t>
      </w:r>
      <w:r>
        <w:rPr>
          <w:rFonts w:hint="eastAsia" w:ascii="仿宋_GB2312" w:hAnsi="微软雅黑" w:eastAsia="仿宋_GB2312" w:cs="宋体"/>
          <w:color w:val="000000"/>
          <w:kern w:val="0"/>
          <w:sz w:val="32"/>
          <w:szCs w:val="32"/>
          <w:lang w:eastAsia="zh-CN"/>
        </w:rPr>
        <w:t>、市委市政府</w:t>
      </w:r>
      <w:r>
        <w:rPr>
          <w:rFonts w:hint="eastAsia" w:ascii="仿宋_GB2312" w:hAnsi="微软雅黑" w:eastAsia="仿宋_GB2312" w:cs="宋体"/>
          <w:color w:val="000000"/>
          <w:kern w:val="0"/>
          <w:sz w:val="32"/>
          <w:szCs w:val="32"/>
        </w:rPr>
        <w:t>的决策部署，加快转变政府职能，进一步推进简政放权、放管结合，加强和细化防雷安全工作事中事后监管及随机抽查工作机制，规范监管行为，强化市场主体自律和社会监督，维护公平市场竞争秩序，促进经济社会健康发展。</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二、随机抽查对象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商丘市气象局“</w:t>
      </w:r>
      <w:r>
        <w:rPr>
          <w:rFonts w:hint="eastAsia" w:ascii="仿宋_GB2312" w:hAnsi="微软雅黑" w:eastAsia="仿宋_GB2312" w:cs="宋体"/>
          <w:color w:val="000000"/>
          <w:kern w:val="0"/>
          <w:sz w:val="32"/>
          <w:szCs w:val="32"/>
          <w:lang w:eastAsia="zh-CN"/>
        </w:rPr>
        <w:t>双随机、一公开</w:t>
      </w:r>
      <w:r>
        <w:rPr>
          <w:rFonts w:hint="eastAsia" w:ascii="仿宋_GB2312" w:hAnsi="微软雅黑" w:eastAsia="仿宋_GB2312" w:cs="宋体"/>
          <w:color w:val="000000"/>
          <w:kern w:val="0"/>
          <w:sz w:val="32"/>
          <w:szCs w:val="32"/>
        </w:rPr>
        <w:t>”检查的对象为商丘市的易燃易爆危险化学品场所（单位）、气象灾害防御重点单位。</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594" w:firstLineChars="300"/>
        <w:textAlignment w:val="auto"/>
        <w:rPr>
          <w:rFonts w:ascii="黑体" w:hAnsi="黑体" w:eastAsia="黑体" w:cs="黑体"/>
          <w:color w:val="000000"/>
          <w:kern w:val="0"/>
          <w:sz w:val="32"/>
          <w:szCs w:val="32"/>
        </w:rPr>
      </w:pPr>
      <w:r>
        <w:rPr>
          <w:rFonts w:ascii="宋体" w:hAnsi="宋体" w:eastAsia="宋体"/>
          <w:spacing w:val="-6"/>
        </w:rPr>
        <mc:AlternateContent>
          <mc:Choice Requires="wps">
            <w:drawing>
              <wp:anchor distT="0" distB="0" distL="114300" distR="114300" simplePos="0" relativeHeight="251662336" behindDoc="1" locked="0" layoutInCell="1" allowOverlap="1">
                <wp:simplePos x="0" y="0"/>
                <wp:positionH relativeFrom="column">
                  <wp:posOffset>-266065</wp:posOffset>
                </wp:positionH>
                <wp:positionV relativeFrom="page">
                  <wp:posOffset>9605010</wp:posOffset>
                </wp:positionV>
                <wp:extent cx="6120130" cy="0"/>
                <wp:effectExtent l="0" t="28575" r="13970" b="28575"/>
                <wp:wrapNone/>
                <wp:docPr id="3" name="直线 5"/>
                <wp:cNvGraphicFramePr/>
                <a:graphic xmlns:a="http://schemas.openxmlformats.org/drawingml/2006/main">
                  <a:graphicData uri="http://schemas.microsoft.com/office/word/2010/wordprocessingShape">
                    <wps:wsp>
                      <wps:cNvCnPr/>
                      <wps:spPr>
                        <a:xfrm>
                          <a:off x="0" y="0"/>
                          <a:ext cx="6120130" cy="0"/>
                        </a:xfrm>
                        <a:prstGeom prst="line">
                          <a:avLst/>
                        </a:prstGeom>
                        <a:ln w="57150" cap="flat" cmpd="thinThick">
                          <a:solidFill>
                            <a:srgbClr val="FF0000"/>
                          </a:solidFill>
                          <a:prstDash val="solid"/>
                          <a:headEnd type="none" w="med" len="med"/>
                          <a:tailEnd type="none" w="med" len="med"/>
                        </a:ln>
                        <a:effectLst/>
                      </wps:spPr>
                      <wps:bodyPr upright="true"/>
                    </wps:wsp>
                  </a:graphicData>
                </a:graphic>
              </wp:anchor>
            </w:drawing>
          </mc:Choice>
          <mc:Fallback>
            <w:pict>
              <v:line id="直线 5" o:spid="_x0000_s1026" o:spt="20" style="position:absolute;left:0pt;margin-left:-20.95pt;margin-top:756.3pt;height:0pt;width:481.9pt;mso-position-vertical-relative:page;z-index:-251654144;mso-width-relative:page;mso-height-relative:page;" filled="f" stroked="t" coordsize="21600,21600" o:gfxdata="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CLjngR1gAAAA0BAAAPAAAAAAAAAAEAIAAAADgAAABkcnMvZG93bnJldi54bWxQSwECFAAUAAAA&#10;CACHTuJAHGkzMtoBAAClAwAADgAAAAAAAAABACAAAAA7AQAAZHJzL2Uyb0RvYy54bWxQSwUGAAAA&#10;AAYABgBZAQAAhwUAAAAA&#10;">
                <v:fill on="f" focussize="0,0"/>
                <v:stroke weight="4.5pt" color="#FF0000" linestyle="thinThick" joinstyle="round"/>
                <v:imagedata o:title=""/>
                <o:lock v:ext="edit" aspectratio="f"/>
              </v:line>
            </w:pict>
          </mc:Fallback>
        </mc:AlternateContent>
      </w:r>
      <w:r>
        <w:rPr>
          <w:rFonts w:hint="eastAsia" w:ascii="黑体" w:hAnsi="黑体" w:eastAsia="黑体" w:cs="黑体"/>
          <w:color w:val="000000"/>
          <w:kern w:val="0"/>
          <w:sz w:val="32"/>
          <w:szCs w:val="32"/>
        </w:rPr>
        <w:t>三、抽查内容</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hint="eastAsia" w:ascii="仿宋_GB2312" w:hAnsi="微软雅黑" w:eastAsia="仿宋_GB2312" w:cs="宋体"/>
          <w:color w:val="000000"/>
          <w:kern w:val="0"/>
          <w:sz w:val="32"/>
          <w:szCs w:val="32"/>
          <w:lang w:eastAsia="zh-CN"/>
        </w:rPr>
      </w:pPr>
      <w:r>
        <w:rPr>
          <w:rFonts w:hint="eastAsia"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eastAsia="zh-CN"/>
        </w:rPr>
        <w:t>双随机、一公开</w:t>
      </w:r>
      <w:r>
        <w:rPr>
          <w:rFonts w:hint="eastAsia" w:ascii="仿宋_GB2312" w:hAnsi="微软雅黑" w:eastAsia="仿宋_GB2312" w:cs="宋体"/>
          <w:color w:val="000000"/>
          <w:kern w:val="0"/>
          <w:sz w:val="32"/>
          <w:szCs w:val="32"/>
        </w:rPr>
        <w:t>”抽查主要针对油库、气库、弹药库、化学品仓库、烟花爆竹、石化等易燃易爆建设工程和场所，气象灾害防御重点单位以下内容</w:t>
      </w:r>
      <w:r>
        <w:rPr>
          <w:rFonts w:hint="eastAsia" w:ascii="仿宋_GB2312" w:hAnsi="微软雅黑" w:eastAsia="仿宋_GB2312" w:cs="宋体"/>
          <w:color w:val="000000"/>
          <w:kern w:val="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（一）防雷装置设计未经当地气象主管机构审核或者审核未通过，擅自施工的；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（二）防雷装置未经当地气象主管机构验收或者验收未通过，擅自投入使用的;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（三）已有防雷装置，拒绝进行检测或者经检测不合格又拒不整改的；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（四）应当安装防雷装置而未安装的；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（五）向负责监督检查的机构隐瞒有关情况、提供虚假材料或者拒绝提供反映其活动情况的真实材料的；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（六）使用不符合标准要求的防雷装置或者产品的；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（七）对重大雷电灾害事故隐瞒不报的。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四、建立“两库一单”</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楷体_GB2312" w:hAnsi="楷体_GB2312" w:eastAsia="楷体_GB2312" w:cs="楷体_GB2312"/>
          <w:b w:val="0"/>
          <w:bCs w:val="0"/>
          <w:color w:val="000000"/>
          <w:kern w:val="0"/>
          <w:sz w:val="32"/>
          <w:szCs w:val="32"/>
        </w:rPr>
        <w:t>（一）防雷监管对象库。</w:t>
      </w:r>
      <w:r>
        <w:rPr>
          <w:rFonts w:hint="eastAsia" w:ascii="仿宋_GB2312" w:hAnsi="微软雅黑" w:eastAsia="仿宋_GB2312" w:cs="宋体"/>
          <w:color w:val="000000"/>
          <w:kern w:val="0"/>
          <w:sz w:val="32"/>
          <w:szCs w:val="32"/>
        </w:rPr>
        <w:t>按照本方案明确的随机抽查对象范围，建立防雷监管对象名录库，名录信息包括责任主体的名称、地址、法定代表人（负责人）、联系人姓名、电话等内容。</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hint="eastAsia" w:ascii="仿宋_GB2312" w:hAnsi="微软雅黑" w:eastAsia="仿宋_GB2312" w:cs="宋体"/>
          <w:color w:val="000000"/>
          <w:kern w:val="0"/>
          <w:sz w:val="32"/>
          <w:szCs w:val="32"/>
        </w:rPr>
      </w:pPr>
      <w:r>
        <w:rPr>
          <w:rFonts w:hint="eastAsia" w:ascii="楷体_GB2312" w:hAnsi="楷体_GB2312" w:eastAsia="楷体_GB2312" w:cs="楷体_GB2312"/>
          <w:b w:val="0"/>
          <w:bCs w:val="0"/>
          <w:color w:val="000000" w:themeColor="text1"/>
          <w:kern w:val="0"/>
          <w:sz w:val="32"/>
          <w:szCs w:val="32"/>
          <w14:textFill>
            <w14:solidFill>
              <w14:schemeClr w14:val="tx1"/>
            </w14:solidFill>
          </w14:textFill>
        </w:rPr>
        <w:t>（二）检查人员名录库。</w:t>
      </w:r>
      <w:r>
        <w:rPr>
          <w:rFonts w:hint="eastAsia" w:ascii="仿宋_GB2312" w:hAnsi="微软雅黑" w:eastAsia="仿宋_GB2312" w:cs="宋体"/>
          <w:color w:val="000000" w:themeColor="text1"/>
          <w:kern w:val="0"/>
          <w:sz w:val="32"/>
          <w:szCs w:val="32"/>
          <w14:textFill>
            <w14:solidFill>
              <w14:schemeClr w14:val="tx1"/>
            </w14:solidFill>
          </w14:textFill>
        </w:rPr>
        <w:t>执法人员库由具备执法资格的执法人员构成</w:t>
      </w:r>
      <w:r>
        <w:rPr>
          <w:rFonts w:hint="eastAsia" w:ascii="仿宋_GB2312" w:hAnsi="微软雅黑" w:eastAsia="仿宋_GB2312" w:cs="宋体"/>
          <w:color w:val="000000" w:themeColor="text1"/>
          <w:kern w:val="0"/>
          <w:sz w:val="32"/>
          <w:szCs w:val="32"/>
          <w:lang w:eastAsia="zh-CN"/>
          <w14:textFill>
            <w14:solidFill>
              <w14:schemeClr w14:val="tx1"/>
            </w14:solidFill>
          </w14:textFill>
        </w:rPr>
        <w:t>，</w:t>
      </w:r>
      <w:r>
        <w:rPr>
          <w:rFonts w:ascii="仿宋_GB2312" w:hAnsi="宋体" w:eastAsia="仿宋_GB2312" w:cs="仿宋_GB2312"/>
          <w:i w:val="0"/>
          <w:iCs w:val="0"/>
          <w:caps w:val="0"/>
          <w:color w:val="000000" w:themeColor="text1"/>
          <w:spacing w:val="0"/>
          <w:sz w:val="31"/>
          <w:szCs w:val="31"/>
          <w:shd w:val="clear" w:fill="FFFFFF"/>
          <w14:textFill>
            <w14:solidFill>
              <w14:schemeClr w14:val="tx1"/>
            </w14:solidFill>
          </w14:textFill>
        </w:rPr>
        <w:t>要求相关人员具有一定的执法经验、较高的理论水平</w:t>
      </w:r>
      <w:r>
        <w:rPr>
          <w:rFonts w:hint="eastAsia" w:ascii="仿宋_GB2312" w:hAnsi="宋体" w:eastAsia="仿宋_GB2312" w:cs="仿宋_GB2312"/>
          <w:i w:val="0"/>
          <w:iCs w:val="0"/>
          <w:caps w:val="0"/>
          <w:color w:val="000000" w:themeColor="text1"/>
          <w:spacing w:val="0"/>
          <w:sz w:val="31"/>
          <w:szCs w:val="31"/>
          <w:shd w:val="clear" w:fill="FFFFFF"/>
          <w:lang w:eastAsia="zh-CN"/>
          <w14:textFill>
            <w14:solidFill>
              <w14:schemeClr w14:val="tx1"/>
            </w14:solidFill>
          </w14:textFill>
        </w:rPr>
        <w:t>。</w:t>
      </w:r>
      <w:r>
        <w:rPr>
          <w:rFonts w:hint="eastAsia" w:ascii="仿宋_GB2312" w:hAnsi="微软雅黑" w:eastAsia="仿宋_GB2312" w:cs="宋体"/>
          <w:color w:val="000000"/>
          <w:kern w:val="0"/>
          <w:sz w:val="32"/>
          <w:szCs w:val="32"/>
        </w:rPr>
        <w:t>技术人员库由防雷及相关领域的技术专家或具有丰富从业经历的人员组成，名录信息包括技术人员姓名、单位、技术职称等。</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楷体_GB2312" w:hAnsi="楷体_GB2312" w:eastAsia="楷体_GB2312" w:cs="楷体_GB2312"/>
          <w:b w:val="0"/>
          <w:bCs w:val="0"/>
          <w:color w:val="000000"/>
          <w:kern w:val="0"/>
          <w:sz w:val="32"/>
          <w:szCs w:val="32"/>
        </w:rPr>
        <w:t>（三）建立</w:t>
      </w:r>
      <w:r>
        <w:rPr>
          <w:rFonts w:hint="eastAsia" w:ascii="楷体_GB2312" w:hAnsi="楷体_GB2312" w:eastAsia="楷体_GB2312" w:cs="楷体_GB2312"/>
          <w:b w:val="0"/>
          <w:bCs w:val="0"/>
          <w:color w:val="000000" w:themeColor="text1"/>
          <w:kern w:val="0"/>
          <w:sz w:val="32"/>
          <w:szCs w:val="32"/>
          <w14:textFill>
            <w14:solidFill>
              <w14:schemeClr w14:val="tx1"/>
            </w14:solidFill>
          </w14:textFill>
        </w:rPr>
        <w:t>“</w:t>
      </w:r>
      <w:r>
        <w:rPr>
          <w:rFonts w:hint="eastAsia" w:ascii="楷体_GB2312" w:hAnsi="楷体_GB2312" w:eastAsia="楷体_GB2312" w:cs="楷体_GB2312"/>
          <w:b w:val="0"/>
          <w:bCs w:val="0"/>
          <w:color w:val="000000" w:themeColor="text1"/>
          <w:kern w:val="0"/>
          <w:sz w:val="32"/>
          <w:szCs w:val="32"/>
          <w:lang w:eastAsia="zh-CN"/>
          <w14:textFill>
            <w14:solidFill>
              <w14:schemeClr w14:val="tx1"/>
            </w14:solidFill>
          </w14:textFill>
        </w:rPr>
        <w:t>双随机、一公开</w:t>
      </w:r>
      <w:r>
        <w:rPr>
          <w:rFonts w:hint="eastAsia" w:ascii="楷体_GB2312" w:hAnsi="楷体_GB2312" w:eastAsia="楷体_GB2312" w:cs="楷体_GB2312"/>
          <w:b w:val="0"/>
          <w:bCs w:val="0"/>
          <w:color w:val="000000" w:themeColor="text1"/>
          <w:kern w:val="0"/>
          <w:sz w:val="32"/>
          <w:szCs w:val="32"/>
          <w14:textFill>
            <w14:solidFill>
              <w14:schemeClr w14:val="tx1"/>
            </w14:solidFill>
          </w14:textFill>
        </w:rPr>
        <w:t>”</w:t>
      </w:r>
      <w:r>
        <w:rPr>
          <w:rFonts w:hint="eastAsia" w:ascii="楷体_GB2312" w:hAnsi="楷体_GB2312" w:eastAsia="楷体_GB2312" w:cs="楷体_GB2312"/>
          <w:b w:val="0"/>
          <w:bCs w:val="0"/>
          <w:color w:val="000000"/>
          <w:kern w:val="0"/>
          <w:sz w:val="32"/>
          <w:szCs w:val="32"/>
        </w:rPr>
        <w:t>抽查事项清单。</w:t>
      </w:r>
      <w:r>
        <w:rPr>
          <w:rFonts w:hint="eastAsia" w:ascii="仿宋_GB2312" w:hAnsi="微软雅黑" w:eastAsia="仿宋_GB2312" w:cs="宋体"/>
          <w:color w:val="000000"/>
          <w:kern w:val="0"/>
          <w:sz w:val="32"/>
          <w:szCs w:val="32"/>
        </w:rPr>
        <w:t>依照法律法规规章的规定，结合日常监督管理需要，制定“</w:t>
      </w:r>
      <w:r>
        <w:rPr>
          <w:rFonts w:hint="eastAsia" w:ascii="仿宋_GB2312" w:hAnsi="微软雅黑" w:eastAsia="仿宋_GB2312" w:cs="宋体"/>
          <w:color w:val="000000"/>
          <w:kern w:val="0"/>
          <w:sz w:val="32"/>
          <w:szCs w:val="32"/>
          <w:lang w:eastAsia="zh-CN"/>
        </w:rPr>
        <w:t>双随机、一公开</w:t>
      </w:r>
      <w:r>
        <w:rPr>
          <w:rFonts w:hint="eastAsia" w:ascii="仿宋_GB2312" w:hAnsi="微软雅黑" w:eastAsia="仿宋_GB2312" w:cs="宋体"/>
          <w:color w:val="000000"/>
          <w:kern w:val="0"/>
          <w:sz w:val="32"/>
          <w:szCs w:val="32"/>
        </w:rPr>
        <w:t>”抽查事项清单，明确抽查依据、抽查主体、抽查对象、抽查内容和抽查方式等，并及时向社会公布。</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楷体_GB2312" w:hAnsi="楷体_GB2312" w:eastAsia="楷体_GB2312" w:cs="楷体_GB2312"/>
          <w:b w:val="0"/>
          <w:bCs w:val="0"/>
          <w:color w:val="000000"/>
          <w:kern w:val="0"/>
          <w:sz w:val="32"/>
          <w:szCs w:val="32"/>
        </w:rPr>
        <w:t>（四）实行动态管理。</w:t>
      </w:r>
      <w:r>
        <w:rPr>
          <w:rFonts w:hint="eastAsia" w:ascii="仿宋_GB2312" w:hAnsi="微软雅黑" w:eastAsia="仿宋_GB2312" w:cs="宋体"/>
          <w:color w:val="000000"/>
          <w:kern w:val="0"/>
          <w:sz w:val="32"/>
          <w:szCs w:val="32"/>
        </w:rPr>
        <w:t>对监管对象名录库、执法人员名录库</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技术专家库及“</w:t>
      </w:r>
      <w:r>
        <w:rPr>
          <w:rFonts w:hint="eastAsia" w:ascii="仿宋_GB2312" w:hAnsi="微软雅黑" w:eastAsia="仿宋_GB2312" w:cs="宋体"/>
          <w:color w:val="000000"/>
          <w:kern w:val="0"/>
          <w:sz w:val="32"/>
          <w:szCs w:val="32"/>
          <w:lang w:eastAsia="zh-CN"/>
        </w:rPr>
        <w:t>双随机、一公开</w:t>
      </w:r>
      <w:r>
        <w:rPr>
          <w:rFonts w:hint="eastAsia" w:ascii="仿宋_GB2312" w:hAnsi="微软雅黑" w:eastAsia="仿宋_GB2312" w:cs="宋体"/>
          <w:color w:val="000000"/>
          <w:kern w:val="0"/>
          <w:sz w:val="32"/>
          <w:szCs w:val="32"/>
        </w:rPr>
        <w:t>”抽查事项清单实行动态管理，及时录入、更新相关信息，确保监管对象齐全、监管人员合格、监管事项合法。对象库和人员库每年更新一次。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五、规范工作规程</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（一）抽查对象、人员及频次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楷体" w:eastAsia="仿宋_GB2312" w:cs="宋体"/>
          <w:color w:val="000000"/>
          <w:kern w:val="0"/>
          <w:sz w:val="32"/>
          <w:szCs w:val="32"/>
        </w:rPr>
        <w:t>抽查对象</w:t>
      </w:r>
      <w:r>
        <w:rPr>
          <w:rFonts w:hint="eastAsia" w:ascii="仿宋_GB2312" w:hAnsi="微软雅黑" w:eastAsia="仿宋_GB2312" w:cs="宋体"/>
          <w:color w:val="000000"/>
          <w:kern w:val="0"/>
          <w:sz w:val="32"/>
          <w:szCs w:val="32"/>
        </w:rPr>
        <w:t>：通过软件摇号、抽签等方式从监管对象名录库中随机抽取检查对象，抽查比例</w:t>
      </w:r>
      <w:r>
        <w:rPr>
          <w:rFonts w:hint="eastAsia" w:ascii="仿宋_GB2312" w:hAnsi="微软雅黑" w:eastAsia="仿宋_GB2312" w:cs="宋体"/>
          <w:color w:val="000000"/>
          <w:kern w:val="0"/>
          <w:sz w:val="32"/>
          <w:szCs w:val="32"/>
          <w:lang w:eastAsia="zh-CN"/>
        </w:rPr>
        <w:t>为</w:t>
      </w:r>
      <w:r>
        <w:rPr>
          <w:rFonts w:hint="eastAsia" w:ascii="仿宋_GB2312" w:hAnsi="微软雅黑" w:eastAsia="仿宋_GB2312" w:cs="宋体"/>
          <w:color w:val="000000"/>
          <w:kern w:val="0"/>
          <w:sz w:val="32"/>
          <w:szCs w:val="32"/>
          <w:lang w:val="en-US" w:eastAsia="zh-CN"/>
        </w:rPr>
        <w:t>10</w:t>
      </w:r>
      <w:r>
        <w:rPr>
          <w:rFonts w:hint="eastAsia" w:ascii="仿宋_GB2312" w:hAnsi="微软雅黑" w:eastAsia="仿宋_GB2312" w:cs="宋体"/>
          <w:color w:val="000000"/>
          <w:kern w:val="0"/>
          <w:sz w:val="32"/>
          <w:szCs w:val="32"/>
        </w:rPr>
        <w:t>%，抽查频次一般为一年一次。抽查对象按比例计算不到1家时，按1家计。对3年内已被随机抽查过的监管对象，不再列入当年度随机抽查名单。对投诉举报多、列入经营异常名录或有严重违法违规记录等情况的市场主体，要加大随机抽查力度。</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楷体" w:eastAsia="仿宋_GB2312" w:cs="宋体"/>
          <w:color w:val="000000"/>
          <w:kern w:val="0"/>
          <w:sz w:val="32"/>
          <w:szCs w:val="32"/>
        </w:rPr>
        <w:t>检查人员</w:t>
      </w:r>
      <w:r>
        <w:rPr>
          <w:rFonts w:hint="eastAsia" w:ascii="仿宋_GB2312" w:hAnsi="微软雅黑" w:eastAsia="仿宋_GB2312" w:cs="宋体"/>
          <w:color w:val="000000"/>
          <w:kern w:val="0"/>
          <w:sz w:val="32"/>
          <w:szCs w:val="32"/>
        </w:rPr>
        <w:t>：从对应的执法检查人员名录库中随机抽取。每次抽取不少于2名以上的执法人员，组成检查组开展工作，同时，可根据需要从技术专家库中选取1-2名专家，协助开展检查工作。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（二）工作流程</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1.抽取检查对象、检查人员。</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2.通知检查对象。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3.现场检查并记录，具体内容包括：听取自查汇报</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实地查看防雷装置现场、查看检测报告、防雷安全责任制度、应急预案、教育培训记录等材料，向当事人调查了解相关制度落实情况;检查组会商，确定有无整改项，属于当场纠正的，依法提出整改要求，依法记录。不能当场纠正的，出具整改通知书，明确整改期限。</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4.反馈意见：不予配合情节严重、涉嫌违反相关法律法规需进一步调查处理；下发责令整改通知书等情形。</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5.发布检查通报或向上级单位报告检查结果。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 (三)如实记录检查全过程</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执法检查应按照《河南省气象部门行政执法全过程记录工作办法（试行）》要求，如实填写检查记录表，做到全程记录，并逐步推广运用音视频等电子化手段，对“</w:t>
      </w:r>
      <w:r>
        <w:rPr>
          <w:rFonts w:hint="eastAsia" w:ascii="仿宋_GB2312" w:hAnsi="微软雅黑" w:eastAsia="仿宋_GB2312" w:cs="宋体"/>
          <w:color w:val="000000"/>
          <w:kern w:val="0"/>
          <w:sz w:val="32"/>
          <w:szCs w:val="32"/>
          <w:lang w:eastAsia="zh-CN"/>
        </w:rPr>
        <w:t>双随机、一公开</w:t>
      </w:r>
      <w:r>
        <w:rPr>
          <w:rFonts w:hint="eastAsia" w:ascii="仿宋_GB2312" w:hAnsi="微软雅黑" w:eastAsia="仿宋_GB2312" w:cs="宋体"/>
          <w:color w:val="000000"/>
          <w:kern w:val="0"/>
          <w:sz w:val="32"/>
          <w:szCs w:val="32"/>
        </w:rPr>
        <w:t>”抽查做到过程记录，实现责任可追溯。</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六、抽查结果的处理和运用</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对抽查发现的违法违规行为，要责令其及时改正，并依法依规处理，形成有效震慑，增强责任主体守法的自觉性。责任主体拒绝接受抽查或在接受抽查中隐瞒真实情况、弄虚作假的，由气象主管机构依法处理，并向社会公示。对不依法安装防雷装置或未按规定对防雷装置进行定期检测，存在防雷安全重大隐患的单位，将进行复查。属于立案查处的，按照法律、法规、规章规定的程序处理。     </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抽查工作结束后，抽查实施部</w:t>
      </w:r>
      <w:bookmarkStart w:id="0" w:name="_GoBack"/>
      <w:bookmarkEnd w:id="0"/>
      <w:r>
        <w:rPr>
          <w:rFonts w:hint="eastAsia" w:ascii="仿宋_GB2312" w:hAnsi="微软雅黑" w:eastAsia="仿宋_GB2312" w:cs="宋体"/>
          <w:color w:val="000000"/>
          <w:kern w:val="0"/>
          <w:sz w:val="32"/>
          <w:szCs w:val="32"/>
        </w:rPr>
        <w:t>门应将抽查情况及查处结果向社会公示，接受社会监督。</w:t>
      </w:r>
    </w:p>
    <w:p>
      <w:pPr>
        <w:keepNext w:val="0"/>
        <w:keepLines w:val="0"/>
        <w:pageBreakBefore w:val="0"/>
        <w:widowControl/>
        <w:shd w:val="clear" w:color="auto" w:fill="FFFFFF"/>
        <w:kinsoku/>
        <w:wordWrap/>
        <w:overflowPunct/>
        <w:topLinePunct w:val="0"/>
        <w:autoSpaceDE/>
        <w:autoSpaceDN/>
        <w:bidi w:val="0"/>
        <w:adjustRightInd/>
        <w:spacing w:line="560" w:lineRule="exact"/>
        <w:textAlignment w:val="auto"/>
        <w:rPr>
          <w:rFonts w:ascii="仿宋_GB2312" w:hAnsi="微软雅黑" w:eastAsia="仿宋_GB2312" w:cs="宋体"/>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pacing w:line="560" w:lineRule="exact"/>
        <w:ind w:left="1918" w:leftChars="304" w:hanging="1280" w:hangingChars="400"/>
        <w:textAlignment w:val="auto"/>
        <w:rPr>
          <w:rFonts w:hint="eastAsia" w:ascii="仿宋_GB2312" w:eastAsia="仿宋_GB2312"/>
          <w:sz w:val="32"/>
          <w:szCs w:val="32"/>
          <w:lang w:val="en-US" w:eastAsia="zh-CN"/>
        </w:rPr>
      </w:pPr>
      <w:r>
        <w:rPr>
          <w:rFonts w:hint="eastAsia" w:ascii="仿宋_GB2312" w:hAnsi="Calibri" w:eastAsia="仿宋_GB2312"/>
          <w:sz w:val="32"/>
          <w:szCs w:val="32"/>
        </w:rPr>
        <w:t>附件</w:t>
      </w:r>
      <w:r>
        <w:rPr>
          <w:rFonts w:hint="eastAsia" w:ascii="仿宋_GB2312" w:hAnsi="Calibri" w:eastAsia="仿宋_GB2312"/>
          <w:sz w:val="32"/>
          <w:szCs w:val="32"/>
          <w:lang w:eastAsia="zh-CN"/>
        </w:rPr>
        <w:t>：</w:t>
      </w:r>
      <w:r>
        <w:rPr>
          <w:rFonts w:hint="eastAsia" w:ascii="仿宋_GB2312" w:hAnsi="Calibri" w:eastAsia="仿宋_GB2312"/>
          <w:sz w:val="32"/>
          <w:szCs w:val="32"/>
          <w:lang w:val="en-US" w:eastAsia="zh-CN"/>
        </w:rPr>
        <w:t>1.</w:t>
      </w: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年度商丘市气象局防雷“</w:t>
      </w:r>
      <w:r>
        <w:rPr>
          <w:rFonts w:hint="eastAsia" w:ascii="仿宋_GB2312" w:eastAsia="仿宋_GB2312"/>
          <w:sz w:val="32"/>
          <w:szCs w:val="32"/>
          <w:lang w:eastAsia="zh-CN"/>
        </w:rPr>
        <w:t>双随机、一公开</w:t>
      </w:r>
      <w:r>
        <w:rPr>
          <w:rFonts w:hint="eastAsia" w:ascii="仿宋_GB2312" w:eastAsia="仿宋_GB2312"/>
          <w:sz w:val="32"/>
          <w:szCs w:val="32"/>
        </w:rPr>
        <w:t>”抽查</w:t>
      </w:r>
      <w:r>
        <w:rPr>
          <w:rFonts w:hint="eastAsia" w:ascii="仿宋_GB2312" w:eastAsia="仿宋_GB2312"/>
          <w:sz w:val="32"/>
          <w:szCs w:val="32"/>
          <w:lang w:eastAsia="zh-CN"/>
        </w:rPr>
        <w:t>事</w:t>
      </w:r>
      <w:r>
        <w:rPr>
          <w:rFonts w:hint="eastAsia" w:ascii="仿宋_GB2312" w:eastAsia="仿宋_GB2312"/>
          <w:sz w:val="32"/>
          <w:szCs w:val="32"/>
        </w:rPr>
        <w:t>项清单</w:t>
      </w:r>
      <w:r>
        <w:rPr>
          <w:rFonts w:hint="eastAsia" w:ascii="仿宋_GB2312" w:eastAsia="仿宋_GB2312"/>
          <w:sz w:val="32"/>
          <w:szCs w:val="32"/>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pacing w:line="560" w:lineRule="exact"/>
        <w:ind w:left="1916" w:leftChars="760" w:hanging="320" w:hangingChars="100"/>
        <w:textAlignment w:val="auto"/>
        <w:rPr>
          <w:rFonts w:ascii="仿宋_GB2312" w:hAnsi="Times New Roman" w:eastAsia="仿宋_GB2312"/>
          <w:spacing w:val="-6"/>
          <w:sz w:val="32"/>
          <w:szCs w:val="32"/>
        </w:rPr>
      </w:pPr>
      <w:r>
        <w:rPr>
          <w:rFonts w:hint="eastAsia" w:ascii="仿宋_GB2312" w:eastAsia="仿宋_GB2312"/>
          <w:sz w:val="32"/>
          <w:szCs w:val="32"/>
          <w:lang w:val="en-US" w:eastAsia="zh-CN"/>
        </w:rPr>
        <w:t>2.2024年度商丘市气象局防雷“双随机、一公开”抽查情况公示表</w:t>
      </w:r>
    </w:p>
    <w:p>
      <w:pPr>
        <w:keepNext w:val="0"/>
        <w:keepLines w:val="0"/>
        <w:pageBreakBefore w:val="0"/>
        <w:kinsoku/>
        <w:wordWrap/>
        <w:overflowPunct/>
        <w:topLinePunct w:val="0"/>
        <w:autoSpaceDE/>
        <w:autoSpaceDN/>
        <w:bidi w:val="0"/>
        <w:adjustRightInd/>
        <w:snapToGrid w:val="0"/>
        <w:spacing w:line="560" w:lineRule="exact"/>
        <w:ind w:firstLine="616" w:firstLineChars="200"/>
        <w:textAlignment w:val="auto"/>
        <w:rPr>
          <w:rFonts w:hint="eastAsia" w:ascii="仿宋_GB2312" w:eastAsia="仿宋_GB2312"/>
          <w:spacing w:val="-6"/>
          <w:sz w:val="32"/>
          <w:szCs w:val="32"/>
        </w:rPr>
      </w:pPr>
    </w:p>
    <w:p>
      <w:pPr>
        <w:keepNext w:val="0"/>
        <w:keepLines w:val="0"/>
        <w:pageBreakBefore w:val="0"/>
        <w:kinsoku/>
        <w:wordWrap/>
        <w:overflowPunct/>
        <w:topLinePunct w:val="0"/>
        <w:autoSpaceDE/>
        <w:autoSpaceDN/>
        <w:bidi w:val="0"/>
        <w:adjustRightInd/>
        <w:snapToGrid w:val="0"/>
        <w:spacing w:line="560" w:lineRule="exact"/>
        <w:ind w:firstLine="616" w:firstLineChars="200"/>
        <w:textAlignment w:val="auto"/>
        <w:rPr>
          <w:rFonts w:hint="eastAsia" w:ascii="仿宋_GB2312" w:eastAsia="仿宋_GB2312"/>
          <w:spacing w:val="-6"/>
          <w:sz w:val="32"/>
          <w:szCs w:val="32"/>
        </w:rPr>
      </w:pPr>
    </w:p>
    <w:p>
      <w:pPr>
        <w:keepNext w:val="0"/>
        <w:keepLines w:val="0"/>
        <w:pageBreakBefore w:val="0"/>
        <w:kinsoku/>
        <w:wordWrap/>
        <w:overflowPunct/>
        <w:topLinePunct w:val="0"/>
        <w:autoSpaceDE/>
        <w:autoSpaceDN/>
        <w:bidi w:val="0"/>
        <w:adjustRightInd/>
        <w:snapToGrid w:val="0"/>
        <w:spacing w:line="560" w:lineRule="exact"/>
        <w:ind w:firstLine="616" w:firstLineChars="200"/>
        <w:textAlignment w:val="auto"/>
        <w:rPr>
          <w:rFonts w:hint="eastAsia" w:ascii="仿宋_GB2312" w:eastAsia="仿宋_GB2312"/>
          <w:spacing w:val="-6"/>
          <w:sz w:val="32"/>
          <w:szCs w:val="32"/>
        </w:rPr>
      </w:pPr>
    </w:p>
    <w:p>
      <w:pPr>
        <w:keepNext w:val="0"/>
        <w:keepLines w:val="0"/>
        <w:pageBreakBefore w:val="0"/>
        <w:kinsoku/>
        <w:wordWrap/>
        <w:overflowPunct/>
        <w:topLinePunct w:val="0"/>
        <w:autoSpaceDE/>
        <w:autoSpaceDN/>
        <w:bidi w:val="0"/>
        <w:adjustRightInd/>
        <w:snapToGrid w:val="0"/>
        <w:spacing w:line="560" w:lineRule="exact"/>
        <w:ind w:firstLine="616" w:firstLineChars="200"/>
        <w:textAlignment w:val="auto"/>
        <w:rPr>
          <w:rFonts w:ascii="仿宋_GB2312" w:eastAsia="仿宋_GB2312"/>
          <w:spacing w:val="-6"/>
          <w:sz w:val="32"/>
          <w:szCs w:val="32"/>
        </w:rPr>
      </w:pPr>
      <w:r>
        <w:rPr>
          <w:rFonts w:hint="eastAsia" w:ascii="仿宋_GB2312" w:eastAsia="仿宋_GB2312"/>
          <w:spacing w:val="-6"/>
          <w:sz w:val="32"/>
          <w:szCs w:val="32"/>
        </w:rPr>
        <w:t xml:space="preserve">                             </w:t>
      </w:r>
      <w:r>
        <w:rPr>
          <w:rFonts w:hint="eastAsia" w:ascii="仿宋_GB2312" w:eastAsia="仿宋_GB2312"/>
          <w:spacing w:val="-6"/>
          <w:sz w:val="32"/>
          <w:szCs w:val="32"/>
          <w:lang w:val="en-US" w:eastAsia="zh-CN"/>
        </w:rPr>
        <w:t xml:space="preserve">   </w:t>
      </w:r>
      <w:r>
        <w:rPr>
          <w:rFonts w:hint="eastAsia" w:ascii="仿宋_GB2312" w:eastAsia="仿宋_GB2312"/>
          <w:spacing w:val="-6"/>
          <w:sz w:val="32"/>
          <w:szCs w:val="32"/>
        </w:rPr>
        <w:t xml:space="preserve">商丘市气象局                                           </w:t>
      </w:r>
    </w:p>
    <w:p>
      <w:pPr>
        <w:keepNext w:val="0"/>
        <w:keepLines w:val="0"/>
        <w:pageBreakBefore w:val="0"/>
        <w:kinsoku/>
        <w:wordWrap/>
        <w:overflowPunct/>
        <w:topLinePunct w:val="0"/>
        <w:autoSpaceDE/>
        <w:autoSpaceDN/>
        <w:bidi w:val="0"/>
        <w:adjustRightInd/>
        <w:snapToGrid w:val="0"/>
        <w:spacing w:line="560" w:lineRule="exact"/>
        <w:ind w:firstLine="5236" w:firstLineChars="1700"/>
        <w:textAlignment w:val="auto"/>
        <w:rPr>
          <w:rFonts w:hint="eastAsia" w:ascii="仿宋_GB2312" w:eastAsia="仿宋_GB2312"/>
          <w:spacing w:val="-6"/>
          <w:sz w:val="32"/>
          <w:szCs w:val="32"/>
        </w:rPr>
      </w:pPr>
      <w:r>
        <w:rPr>
          <w:rFonts w:hint="eastAsia" w:ascii="仿宋_GB2312" w:eastAsia="仿宋_GB2312"/>
          <w:spacing w:val="-6"/>
          <w:sz w:val="32"/>
          <w:szCs w:val="32"/>
        </w:rPr>
        <w:t>202</w:t>
      </w:r>
      <w:r>
        <w:rPr>
          <w:rFonts w:hint="eastAsia" w:ascii="仿宋_GB2312" w:eastAsia="仿宋_GB2312"/>
          <w:spacing w:val="-6"/>
          <w:sz w:val="32"/>
          <w:szCs w:val="32"/>
          <w:lang w:val="en-US" w:eastAsia="zh-CN"/>
        </w:rPr>
        <w:t>4</w:t>
      </w:r>
      <w:r>
        <w:rPr>
          <w:rFonts w:hint="eastAsia" w:ascii="仿宋_GB2312" w:eastAsia="仿宋_GB2312"/>
          <w:spacing w:val="-6"/>
          <w:sz w:val="32"/>
          <w:szCs w:val="32"/>
        </w:rPr>
        <w:t>年</w:t>
      </w:r>
      <w:r>
        <w:rPr>
          <w:rFonts w:hint="eastAsia" w:ascii="仿宋_GB2312" w:eastAsia="仿宋_GB2312"/>
          <w:spacing w:val="-6"/>
          <w:sz w:val="32"/>
          <w:szCs w:val="32"/>
          <w:lang w:val="en-US" w:eastAsia="zh-CN"/>
        </w:rPr>
        <w:t>8</w:t>
      </w:r>
      <w:r>
        <w:rPr>
          <w:rFonts w:hint="eastAsia" w:ascii="仿宋_GB2312" w:eastAsia="仿宋_GB2312"/>
          <w:spacing w:val="-6"/>
          <w:sz w:val="32"/>
          <w:szCs w:val="32"/>
        </w:rPr>
        <w:t>月</w:t>
      </w:r>
      <w:r>
        <w:rPr>
          <w:rFonts w:hint="eastAsia" w:ascii="仿宋_GB2312" w:eastAsia="仿宋_GB2312"/>
          <w:spacing w:val="-6"/>
          <w:sz w:val="32"/>
          <w:szCs w:val="32"/>
          <w:lang w:val="en-US" w:eastAsia="zh-CN"/>
        </w:rPr>
        <w:t>7</w:t>
      </w:r>
      <w:r>
        <w:rPr>
          <w:rFonts w:hint="eastAsia" w:ascii="仿宋_GB2312" w:eastAsia="仿宋_GB2312"/>
          <w:spacing w:val="-6"/>
          <w:sz w:val="32"/>
          <w:szCs w:val="32"/>
        </w:rPr>
        <w:t>日</w:t>
      </w: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ind w:firstLine="4620" w:firstLineChars="1500"/>
        <w:rPr>
          <w:rFonts w:hint="eastAsia" w:ascii="仿宋_GB2312" w:eastAsia="仿宋_GB2312"/>
          <w:spacing w:val="-6"/>
          <w:sz w:val="32"/>
          <w:szCs w:val="32"/>
        </w:rPr>
      </w:pPr>
    </w:p>
    <w:p>
      <w:pPr>
        <w:snapToGrid w:val="0"/>
        <w:spacing w:line="560" w:lineRule="exact"/>
        <w:rPr>
          <w:rFonts w:hint="eastAsia" w:ascii="仿宋_GB2312" w:eastAsia="仿宋_GB2312"/>
          <w:spacing w:val="-6"/>
          <w:sz w:val="32"/>
          <w:szCs w:val="32"/>
        </w:rPr>
      </w:pPr>
    </w:p>
    <w:p>
      <w:pPr>
        <w:rPr>
          <w:rFonts w:ascii="仿宋_GB2312" w:eastAsia="仿宋_GB2312"/>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widowControl/>
        <w:spacing w:line="500" w:lineRule="exact"/>
        <w:jc w:val="left"/>
        <w:rPr>
          <w:rFonts w:hint="eastAsia" w:ascii="黑体" w:hAnsi="宋体" w:eastAsia="黑体"/>
          <w:kern w:val="0"/>
          <w:sz w:val="32"/>
          <w:szCs w:val="24"/>
          <w:lang w:val="en-US" w:eastAsia="zh-CN"/>
        </w:rPr>
      </w:pPr>
      <w:r>
        <w:rPr>
          <w:rFonts w:hint="eastAsia" w:ascii="黑体" w:hAnsi="宋体" w:eastAsia="黑体"/>
          <w:kern w:val="0"/>
          <w:sz w:val="32"/>
          <w:szCs w:val="24"/>
          <w:lang w:eastAsia="zh-CN"/>
        </w:rPr>
        <w:t>附件</w:t>
      </w:r>
      <w:r>
        <w:rPr>
          <w:rFonts w:hint="eastAsia" w:ascii="黑体" w:hAnsi="宋体" w:eastAsia="黑体"/>
          <w:kern w:val="0"/>
          <w:sz w:val="32"/>
          <w:szCs w:val="24"/>
          <w:lang w:val="en-US" w:eastAsia="zh-CN"/>
        </w:rPr>
        <w:t>1</w:t>
      </w:r>
    </w:p>
    <w:p>
      <w:pPr>
        <w:widowControl/>
        <w:spacing w:line="500" w:lineRule="exact"/>
        <w:jc w:val="left"/>
        <w:rPr>
          <w:rFonts w:hint="eastAsia" w:ascii="黑体" w:hAnsi="宋体" w:eastAsia="黑体"/>
          <w:kern w:val="0"/>
          <w:sz w:val="32"/>
          <w:szCs w:val="24"/>
        </w:rPr>
      </w:pPr>
      <w:r>
        <w:rPr>
          <w:rFonts w:hint="eastAsia" w:ascii="黑体" w:hAnsi="宋体" w:eastAsia="黑体"/>
          <w:kern w:val="0"/>
          <w:sz w:val="32"/>
          <w:szCs w:val="24"/>
        </w:rPr>
        <w:t xml:space="preserve">           </w:t>
      </w:r>
    </w:p>
    <w:p>
      <w:pPr>
        <w:widowControl/>
        <w:spacing w:line="500" w:lineRule="exact"/>
        <w:jc w:val="center"/>
        <w:rPr>
          <w:rFonts w:hint="eastAsia" w:ascii="方正小标宋简体" w:hAnsi="宋体" w:eastAsia="方正小标宋简体"/>
          <w:kern w:val="0"/>
          <w:sz w:val="44"/>
          <w:szCs w:val="44"/>
        </w:rPr>
      </w:pPr>
      <w:r>
        <w:rPr>
          <w:rFonts w:hint="eastAsia" w:ascii="方正小标宋简体" w:hAnsi="宋体" w:eastAsia="方正小标宋简体"/>
          <w:kern w:val="0"/>
          <w:sz w:val="44"/>
          <w:szCs w:val="44"/>
        </w:rPr>
        <w:t>202</w:t>
      </w:r>
      <w:r>
        <w:rPr>
          <w:rFonts w:hint="eastAsia" w:ascii="方正小标宋简体" w:hAnsi="宋体" w:eastAsia="方正小标宋简体"/>
          <w:kern w:val="0"/>
          <w:sz w:val="44"/>
          <w:szCs w:val="44"/>
          <w:lang w:val="en-US" w:eastAsia="zh-CN"/>
        </w:rPr>
        <w:t>4</w:t>
      </w:r>
      <w:r>
        <w:rPr>
          <w:rFonts w:hint="eastAsia" w:ascii="方正小标宋简体" w:hAnsi="宋体" w:eastAsia="方正小标宋简体"/>
          <w:kern w:val="0"/>
          <w:sz w:val="44"/>
          <w:szCs w:val="44"/>
        </w:rPr>
        <w:t>年度商丘市气象局防雷“</w:t>
      </w:r>
      <w:r>
        <w:rPr>
          <w:rFonts w:hint="eastAsia" w:ascii="方正小标宋简体" w:hAnsi="宋体" w:eastAsia="方正小标宋简体"/>
          <w:kern w:val="0"/>
          <w:sz w:val="44"/>
          <w:szCs w:val="44"/>
          <w:lang w:eastAsia="zh-CN"/>
        </w:rPr>
        <w:t>双随机、一公开</w:t>
      </w:r>
      <w:r>
        <w:rPr>
          <w:rFonts w:hint="eastAsia" w:ascii="方正小标宋简体" w:hAnsi="宋体" w:eastAsia="方正小标宋简体"/>
          <w:kern w:val="0"/>
          <w:sz w:val="44"/>
          <w:szCs w:val="44"/>
        </w:rPr>
        <w:t>”抽查事项清单</w:t>
      </w:r>
    </w:p>
    <w:p>
      <w:pPr>
        <w:rPr>
          <w:rFonts w:hint="eastAsia" w:ascii="Times New Roman" w:hAnsi="Times New Roman" w:eastAsia="宋体"/>
          <w:szCs w:val="24"/>
        </w:rPr>
      </w:pPr>
    </w:p>
    <w:tbl>
      <w:tblPr>
        <w:tblStyle w:val="6"/>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992"/>
        <w:gridCol w:w="1873"/>
        <w:gridCol w:w="2410"/>
        <w:gridCol w:w="5245"/>
        <w:gridCol w:w="1276"/>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序号</w:t>
            </w: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kern w:val="0"/>
                <w:szCs w:val="21"/>
              </w:rPr>
            </w:pPr>
            <w:r>
              <w:rPr>
                <w:rFonts w:hint="eastAsia" w:ascii="宋体" w:hAnsi="宋体" w:eastAsia="宋体" w:cs="宋体"/>
                <w:b/>
                <w:bCs/>
                <w:kern w:val="0"/>
                <w:szCs w:val="21"/>
              </w:rPr>
              <w:t>抽查事项名称</w:t>
            </w:r>
          </w:p>
        </w:tc>
        <w:tc>
          <w:tcPr>
            <w:tcW w:w="18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kern w:val="0"/>
                <w:szCs w:val="21"/>
              </w:rPr>
            </w:pPr>
            <w:r>
              <w:rPr>
                <w:rFonts w:hint="eastAsia" w:ascii="宋体" w:hAnsi="宋体" w:eastAsia="宋体" w:cs="宋体"/>
                <w:b/>
                <w:bCs/>
                <w:kern w:val="0"/>
                <w:szCs w:val="21"/>
              </w:rPr>
              <w:t>抽查对象</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抽查依据</w:t>
            </w:r>
          </w:p>
        </w:tc>
        <w:tc>
          <w:tcPr>
            <w:tcW w:w="5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b/>
                <w:szCs w:val="21"/>
              </w:rPr>
            </w:pPr>
            <w:r>
              <w:rPr>
                <w:rFonts w:hint="eastAsia" w:ascii="宋体" w:hAnsi="宋体" w:eastAsia="宋体" w:cs="宋体"/>
                <w:b/>
                <w:bCs/>
                <w:kern w:val="0"/>
                <w:szCs w:val="21"/>
              </w:rPr>
              <w:t>抽查内容</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抽查</w:t>
            </w:r>
          </w:p>
          <w:p>
            <w:pPr>
              <w:widowControl/>
              <w:jc w:val="center"/>
              <w:rPr>
                <w:rFonts w:ascii="宋体" w:hAnsi="宋体" w:eastAsia="宋体" w:cs="宋体"/>
                <w:b/>
                <w:kern w:val="0"/>
                <w:szCs w:val="21"/>
              </w:rPr>
            </w:pPr>
            <w:r>
              <w:rPr>
                <w:rFonts w:hint="eastAsia" w:ascii="宋体" w:hAnsi="宋体" w:eastAsia="宋体" w:cs="宋体"/>
                <w:b/>
                <w:bCs/>
                <w:kern w:val="0"/>
                <w:szCs w:val="21"/>
              </w:rPr>
              <w:t>方式</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kern w:val="0"/>
                <w:szCs w:val="21"/>
              </w:rPr>
            </w:pPr>
            <w:r>
              <w:rPr>
                <w:rFonts w:hint="eastAsia" w:ascii="宋体" w:hAnsi="宋体" w:eastAsia="宋体" w:cs="宋体"/>
                <w:b/>
                <w:bCs/>
                <w:kern w:val="0"/>
                <w:szCs w:val="21"/>
              </w:rPr>
              <w:t>比例和频次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2" w:hRule="atLeast"/>
        </w:trPr>
        <w:tc>
          <w:tcPr>
            <w:tcW w:w="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 w:val="21"/>
                <w:szCs w:val="21"/>
                <w:lang w:val="en-US" w:eastAsia="zh-CN"/>
              </w:rPr>
            </w:pPr>
            <w:r>
              <w:rPr>
                <w:rFonts w:hint="eastAsia" w:ascii="宋体" w:hAnsi="宋体" w:eastAsia="宋体" w:cs="宋体"/>
                <w:kern w:val="0"/>
                <w:szCs w:val="21"/>
                <w:lang w:eastAsia="zh-CN"/>
              </w:rPr>
              <w:t>对雷电灾害防御工作的行政检查</w:t>
            </w:r>
          </w:p>
          <w:p>
            <w:pPr>
              <w:widowControl/>
              <w:jc w:val="left"/>
              <w:rPr>
                <w:rFonts w:ascii="宋体" w:hAnsi="宋体" w:eastAsia="宋体" w:cs="宋体"/>
                <w:kern w:val="0"/>
                <w:szCs w:val="21"/>
              </w:rPr>
            </w:pPr>
          </w:p>
        </w:tc>
        <w:tc>
          <w:tcPr>
            <w:tcW w:w="187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Cs w:val="21"/>
              </w:rPr>
            </w:pPr>
            <w:r>
              <w:rPr>
                <w:rFonts w:hint="eastAsia" w:ascii="Times New Roman" w:hAnsi="Times New Roman" w:eastAsia="宋体"/>
                <w:szCs w:val="24"/>
              </w:rPr>
              <w:t>油库、气库、弹药库、化学品仓库、烟花爆竹、石化等易燃易爆建设工程和场所，气象灾害防御重点单位</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0" w:lineRule="atLeast"/>
              <w:rPr>
                <w:rFonts w:ascii="宋体" w:hAnsi="宋体" w:eastAsia="宋体" w:cs="宋体"/>
                <w:kern w:val="0"/>
                <w:szCs w:val="21"/>
              </w:rPr>
            </w:pPr>
            <w:r>
              <w:rPr>
                <w:rFonts w:hint="eastAsia" w:ascii="宋体" w:hAnsi="宋体" w:eastAsia="宋体"/>
                <w:kern w:val="0"/>
                <w:szCs w:val="21"/>
              </w:rPr>
              <w:t>1.《中华人民共和国气象法》；2.《气象灾害防御条例》</w:t>
            </w:r>
            <w:r>
              <w:rPr>
                <w:rFonts w:hint="eastAsia" w:ascii="宋体" w:hAnsi="宋体" w:eastAsia="宋体" w:cs="宋体"/>
                <w:kern w:val="0"/>
                <w:szCs w:val="21"/>
              </w:rPr>
              <w:t>；</w:t>
            </w:r>
            <w:r>
              <w:rPr>
                <w:rFonts w:hint="eastAsia" w:ascii="宋体" w:hAnsi="宋体" w:eastAsia="宋体"/>
                <w:kern w:val="0"/>
                <w:szCs w:val="21"/>
              </w:rPr>
              <w:t>3.《国务院关于优化建设工程防雷许可的决定》（国发〔2016〕39号）；</w:t>
            </w:r>
            <w:r>
              <w:rPr>
                <w:rFonts w:hint="eastAsia" w:ascii="宋体" w:hAnsi="宋体" w:eastAsia="宋体" w:cs="宋体"/>
                <w:kern w:val="0"/>
                <w:szCs w:val="21"/>
              </w:rPr>
              <w:t>4</w:t>
            </w:r>
            <w:r>
              <w:rPr>
                <w:rFonts w:hint="eastAsia" w:ascii="宋体" w:hAnsi="宋体" w:eastAsia="宋体"/>
                <w:kern w:val="0"/>
                <w:szCs w:val="21"/>
              </w:rPr>
              <w:t>.《防雷减灾管理办法</w:t>
            </w:r>
            <w:r>
              <w:rPr>
                <w:rFonts w:hint="eastAsia" w:ascii="宋体" w:hAnsi="宋体" w:eastAsia="宋体"/>
                <w:kern w:val="0"/>
                <w:szCs w:val="21"/>
                <w:lang w:eastAsia="zh-CN"/>
              </w:rPr>
              <w:t>》</w:t>
            </w:r>
            <w:r>
              <w:rPr>
                <w:rFonts w:hint="eastAsia" w:ascii="宋体" w:hAnsi="宋体" w:eastAsia="宋体"/>
                <w:kern w:val="0"/>
                <w:szCs w:val="21"/>
              </w:rPr>
              <w:t>。</w:t>
            </w:r>
          </w:p>
        </w:tc>
        <w:tc>
          <w:tcPr>
            <w:tcW w:w="5245"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宋体"/>
                <w:szCs w:val="24"/>
              </w:rPr>
            </w:pPr>
            <w:r>
              <w:rPr>
                <w:rFonts w:hint="eastAsia" w:ascii="Times New Roman" w:hAnsi="Times New Roman" w:eastAsia="宋体"/>
                <w:szCs w:val="24"/>
              </w:rPr>
              <w:t>（一）防雷装置设计未经当地气象主管机构审核或者审核未通过，擅自施工的；</w:t>
            </w:r>
          </w:p>
          <w:p>
            <w:pPr>
              <w:rPr>
                <w:rFonts w:hint="eastAsia" w:ascii="Times New Roman" w:hAnsi="Times New Roman" w:eastAsia="宋体"/>
                <w:szCs w:val="24"/>
                <w:lang w:eastAsia="zh-CN"/>
              </w:rPr>
            </w:pPr>
            <w:r>
              <w:rPr>
                <w:rFonts w:hint="eastAsia" w:ascii="Times New Roman" w:hAnsi="Times New Roman" w:eastAsia="宋体"/>
                <w:szCs w:val="24"/>
              </w:rPr>
              <w:t>（二）防雷装置未经当地气象主管机构验收或者验收未通过，擅自投入使用的</w:t>
            </w:r>
            <w:r>
              <w:rPr>
                <w:rFonts w:hint="eastAsia" w:ascii="Times New Roman" w:hAnsi="Times New Roman" w:eastAsia="宋体"/>
                <w:szCs w:val="24"/>
                <w:lang w:eastAsia="zh-CN"/>
              </w:rPr>
              <w:t>；</w:t>
            </w:r>
          </w:p>
          <w:p>
            <w:pPr>
              <w:rPr>
                <w:rFonts w:ascii="Times New Roman" w:hAnsi="Times New Roman" w:eastAsia="宋体"/>
                <w:szCs w:val="24"/>
              </w:rPr>
            </w:pPr>
            <w:r>
              <w:rPr>
                <w:rFonts w:hint="eastAsia" w:ascii="Times New Roman" w:hAnsi="Times New Roman" w:eastAsia="宋体"/>
                <w:szCs w:val="24"/>
              </w:rPr>
              <w:t>（三）已有防雷装置，拒绝进行检测或者经检测不合格又拒不整改的；</w:t>
            </w:r>
          </w:p>
          <w:p>
            <w:pPr>
              <w:rPr>
                <w:rFonts w:ascii="Times New Roman" w:hAnsi="Times New Roman" w:eastAsia="宋体"/>
                <w:szCs w:val="24"/>
              </w:rPr>
            </w:pPr>
            <w:r>
              <w:rPr>
                <w:rFonts w:hint="eastAsia" w:ascii="Times New Roman" w:hAnsi="Times New Roman" w:eastAsia="宋体"/>
                <w:szCs w:val="24"/>
              </w:rPr>
              <w:t>（四）应当安装防</w:t>
            </w:r>
            <w:r>
              <w:rPr>
                <w:rFonts w:hint="eastAsia" w:ascii="Times New Roman" w:hAnsi="Times New Roman" w:eastAsia="宋体"/>
                <w:color w:val="000000"/>
                <w:szCs w:val="24"/>
              </w:rPr>
              <w:t>雷</w:t>
            </w:r>
            <w:r>
              <w:rPr>
                <w:rFonts w:hint="eastAsia" w:ascii="Times New Roman" w:hAnsi="Times New Roman" w:eastAsia="宋体"/>
                <w:szCs w:val="24"/>
              </w:rPr>
              <w:t>装置而拒不安装的；</w:t>
            </w:r>
          </w:p>
          <w:p>
            <w:pPr>
              <w:rPr>
                <w:rFonts w:ascii="Times New Roman" w:hAnsi="Times New Roman" w:eastAsia="宋体"/>
                <w:szCs w:val="24"/>
              </w:rPr>
            </w:pPr>
            <w:r>
              <w:rPr>
                <w:rFonts w:hint="eastAsia" w:ascii="Times New Roman" w:hAnsi="Times New Roman" w:eastAsia="宋体"/>
                <w:szCs w:val="24"/>
              </w:rPr>
              <w:t>（五）向负责监督检查的机构隐瞒有关情况、提供虚假材料或者拒绝提供反映其活动情况的真实材料的；</w:t>
            </w:r>
          </w:p>
          <w:p>
            <w:pPr>
              <w:rPr>
                <w:rFonts w:ascii="Times New Roman" w:hAnsi="Times New Roman" w:eastAsia="宋体"/>
                <w:szCs w:val="24"/>
              </w:rPr>
            </w:pPr>
            <w:r>
              <w:rPr>
                <w:rFonts w:hint="eastAsia" w:ascii="Times New Roman" w:hAnsi="Times New Roman" w:eastAsia="宋体"/>
                <w:szCs w:val="24"/>
              </w:rPr>
              <w:t>（六）使用不符合标准要求的防雷装置或者产品的；</w:t>
            </w:r>
          </w:p>
          <w:p>
            <w:pPr>
              <w:rPr>
                <w:rFonts w:ascii="Times New Roman" w:hAnsi="Times New Roman" w:eastAsia="宋体"/>
                <w:szCs w:val="24"/>
              </w:rPr>
            </w:pPr>
            <w:r>
              <w:rPr>
                <w:rFonts w:hint="eastAsia" w:ascii="Times New Roman" w:hAnsi="Times New Roman" w:eastAsia="宋体"/>
                <w:szCs w:val="24"/>
              </w:rPr>
              <w:t>（七）对重大雷电灾害事故隐瞒不报的。</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宋体"/>
                <w:szCs w:val="24"/>
              </w:rPr>
            </w:pPr>
            <w:r>
              <w:rPr>
                <w:rFonts w:hint="eastAsia" w:ascii="Times New Roman" w:hAnsi="Times New Roman" w:eastAsia="宋体"/>
                <w:szCs w:val="24"/>
              </w:rPr>
              <w:t>随机抽取（软件摇号、抽签等方式）后，通过现场检查、资料台账检查等方式</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jc w:val="left"/>
              <w:rPr>
                <w:rFonts w:ascii="Times New Roman" w:hAnsi="Times New Roman" w:eastAsia="宋体"/>
                <w:szCs w:val="24"/>
              </w:rPr>
            </w:pPr>
            <w:r>
              <w:rPr>
                <w:rFonts w:hint="eastAsia" w:ascii="Times New Roman" w:hAnsi="Times New Roman" w:eastAsia="宋体"/>
                <w:szCs w:val="24"/>
              </w:rPr>
              <w:t>比例：</w:t>
            </w:r>
            <w:r>
              <w:rPr>
                <w:rFonts w:hint="eastAsia" w:ascii="Times New Roman" w:hAnsi="Times New Roman" w:eastAsia="宋体"/>
                <w:szCs w:val="24"/>
                <w:lang w:val="en-US" w:eastAsia="zh-CN"/>
              </w:rPr>
              <w:t>10</w:t>
            </w:r>
            <w:r>
              <w:rPr>
                <w:rFonts w:ascii="Times New Roman" w:hAnsi="Times New Roman" w:eastAsia="宋体"/>
                <w:szCs w:val="24"/>
              </w:rPr>
              <w:t>%</w:t>
            </w:r>
          </w:p>
          <w:p>
            <w:pPr>
              <w:jc w:val="left"/>
              <w:rPr>
                <w:rFonts w:ascii="Times New Roman" w:hAnsi="Times New Roman" w:eastAsia="宋体"/>
                <w:szCs w:val="24"/>
              </w:rPr>
            </w:pPr>
            <w:r>
              <w:rPr>
                <w:rFonts w:hint="eastAsia" w:ascii="Times New Roman" w:hAnsi="Times New Roman" w:eastAsia="宋体"/>
                <w:szCs w:val="24"/>
              </w:rPr>
              <w:t>频次：一年一次</w:t>
            </w:r>
          </w:p>
        </w:tc>
      </w:tr>
    </w:tbl>
    <w:p>
      <w:pPr>
        <w:widowControl/>
        <w:jc w:val="left"/>
        <w:rPr>
          <w:rFonts w:ascii="黑体" w:hAnsi="宋体" w:eastAsia="黑体"/>
          <w:kern w:val="0"/>
          <w:sz w:val="32"/>
          <w:szCs w:val="24"/>
        </w:rPr>
        <w:sectPr>
          <w:footerReference r:id="rId4" w:type="default"/>
          <w:footerReference r:id="rId5" w:type="even"/>
          <w:pgSz w:w="16838" w:h="11906" w:orient="landscape"/>
          <w:pgMar w:top="1803" w:right="1440" w:bottom="1803" w:left="1440" w:header="851" w:footer="992" w:gutter="0"/>
          <w:pgNumType w:fmt="decimal"/>
          <w:cols w:space="720" w:num="1"/>
          <w:docGrid w:type="lines" w:linePitch="319" w:charSpace="0"/>
        </w:sectPr>
      </w:pPr>
    </w:p>
    <w:p>
      <w:pPr>
        <w:jc w:val="left"/>
        <w:rPr>
          <w:rFonts w:hint="eastAsia" w:ascii="黑体" w:hAnsi="宋体" w:eastAsia="黑体"/>
          <w:kern w:val="0"/>
          <w:sz w:val="32"/>
          <w:szCs w:val="24"/>
          <w:lang w:val="en-US" w:eastAsia="zh-CN"/>
        </w:rPr>
      </w:pPr>
      <w:r>
        <w:rPr>
          <w:rFonts w:hint="eastAsia" w:ascii="黑体" w:hAnsi="宋体" w:eastAsia="黑体"/>
          <w:kern w:val="0"/>
          <w:sz w:val="32"/>
          <w:szCs w:val="24"/>
          <w:lang w:eastAsia="zh-CN"/>
        </w:rPr>
        <w:t>附件</w:t>
      </w:r>
      <w:r>
        <w:rPr>
          <w:rFonts w:hint="eastAsia" w:ascii="黑体" w:hAnsi="宋体" w:eastAsia="黑体"/>
          <w:kern w:val="0"/>
          <w:sz w:val="32"/>
          <w:szCs w:val="24"/>
          <w:lang w:val="en-US" w:eastAsia="zh-CN"/>
        </w:rPr>
        <w:t>2</w:t>
      </w:r>
    </w:p>
    <w:p>
      <w:pPr>
        <w:jc w:val="left"/>
        <w:rPr>
          <w:rFonts w:hint="eastAsia" w:ascii="黑体" w:hAnsi="宋体" w:eastAsia="黑体"/>
          <w:kern w:val="0"/>
          <w:sz w:val="32"/>
          <w:szCs w:val="24"/>
          <w:lang w:val="en-US" w:eastAsia="zh-CN"/>
        </w:rPr>
      </w:pPr>
    </w:p>
    <w:p>
      <w:pPr>
        <w:jc w:val="center"/>
        <w:rPr>
          <w:rFonts w:hint="eastAsia" w:ascii="方正小标宋简体" w:hAnsi="Times New Roman" w:eastAsia="方正小标宋简体"/>
          <w:sz w:val="44"/>
          <w:szCs w:val="44"/>
        </w:rPr>
      </w:pPr>
      <w:r>
        <w:rPr>
          <w:rFonts w:hint="eastAsia" w:ascii="方正小标宋简体" w:hAnsi="宋体" w:eastAsia="方正小标宋简体"/>
          <w:kern w:val="0"/>
          <w:sz w:val="44"/>
          <w:szCs w:val="44"/>
        </w:rPr>
        <w:t>202</w:t>
      </w:r>
      <w:r>
        <w:rPr>
          <w:rFonts w:hint="eastAsia" w:ascii="方正小标宋简体" w:hAnsi="宋体" w:eastAsia="方正小标宋简体"/>
          <w:kern w:val="0"/>
          <w:sz w:val="44"/>
          <w:szCs w:val="44"/>
          <w:lang w:val="en-US" w:eastAsia="zh-CN"/>
        </w:rPr>
        <w:t>4</w:t>
      </w:r>
      <w:r>
        <w:rPr>
          <w:rFonts w:hint="eastAsia" w:ascii="方正小标宋简体" w:hAnsi="宋体" w:eastAsia="方正小标宋简体"/>
          <w:kern w:val="0"/>
          <w:sz w:val="44"/>
          <w:szCs w:val="44"/>
        </w:rPr>
        <w:t>年度</w:t>
      </w:r>
      <w:r>
        <w:rPr>
          <w:rFonts w:hint="eastAsia" w:ascii="方正小标宋简体" w:hAnsi="Times New Roman" w:eastAsia="方正小标宋简体"/>
          <w:sz w:val="44"/>
          <w:szCs w:val="44"/>
        </w:rPr>
        <w:t>商丘市气象局防雷“</w:t>
      </w:r>
      <w:r>
        <w:rPr>
          <w:rFonts w:hint="eastAsia" w:ascii="方正小标宋简体" w:hAnsi="Times New Roman" w:eastAsia="方正小标宋简体"/>
          <w:sz w:val="44"/>
          <w:szCs w:val="44"/>
          <w:lang w:eastAsia="zh-CN"/>
        </w:rPr>
        <w:t>双随机、一公开</w:t>
      </w:r>
      <w:r>
        <w:rPr>
          <w:rFonts w:hint="eastAsia" w:ascii="方正小标宋简体" w:hAnsi="Times New Roman" w:eastAsia="方正小标宋简体"/>
          <w:sz w:val="44"/>
          <w:szCs w:val="44"/>
        </w:rPr>
        <w:t>”抽查情况公示表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3118"/>
        <w:gridCol w:w="1559"/>
        <w:gridCol w:w="2694"/>
        <w:gridCol w:w="255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noWrap w:val="0"/>
            <w:vAlign w:val="top"/>
          </w:tcPr>
          <w:p>
            <w:pPr>
              <w:spacing w:line="579" w:lineRule="exact"/>
              <w:jc w:val="center"/>
              <w:rPr>
                <w:rFonts w:ascii="仿宋_GB2312" w:hAnsi="Times New Roman"/>
                <w:b/>
                <w:sz w:val="32"/>
                <w:szCs w:val="32"/>
              </w:rPr>
            </w:pPr>
            <w:r>
              <w:rPr>
                <w:rFonts w:hint="eastAsia" w:ascii="仿宋_GB2312" w:hAnsi="Times New Roman"/>
                <w:b/>
                <w:sz w:val="32"/>
                <w:szCs w:val="32"/>
              </w:rPr>
              <w:t>序号</w:t>
            </w:r>
          </w:p>
        </w:tc>
        <w:tc>
          <w:tcPr>
            <w:tcW w:w="3118" w:type="dxa"/>
            <w:tcBorders>
              <w:top w:val="single" w:color="auto" w:sz="4" w:space="0"/>
              <w:left w:val="single" w:color="auto" w:sz="4" w:space="0"/>
              <w:bottom w:val="single" w:color="auto" w:sz="4" w:space="0"/>
              <w:right w:val="single" w:color="auto" w:sz="4" w:space="0"/>
            </w:tcBorders>
            <w:noWrap w:val="0"/>
            <w:vAlign w:val="top"/>
          </w:tcPr>
          <w:p>
            <w:pPr>
              <w:spacing w:line="579" w:lineRule="exact"/>
              <w:jc w:val="center"/>
              <w:rPr>
                <w:rFonts w:ascii="仿宋_GB2312" w:hAnsi="Times New Roman"/>
                <w:b/>
                <w:sz w:val="32"/>
                <w:szCs w:val="32"/>
              </w:rPr>
            </w:pPr>
            <w:r>
              <w:rPr>
                <w:rFonts w:hint="eastAsia" w:ascii="仿宋_GB2312" w:hAnsi="Times New Roman"/>
                <w:b/>
                <w:sz w:val="32"/>
                <w:szCs w:val="32"/>
              </w:rPr>
              <w:t>抽查对象</w:t>
            </w:r>
          </w:p>
        </w:tc>
        <w:tc>
          <w:tcPr>
            <w:tcW w:w="1559" w:type="dxa"/>
            <w:tcBorders>
              <w:top w:val="single" w:color="auto" w:sz="4" w:space="0"/>
              <w:left w:val="single" w:color="auto" w:sz="4" w:space="0"/>
              <w:bottom w:val="single" w:color="auto" w:sz="4" w:space="0"/>
              <w:right w:val="single" w:color="auto" w:sz="4" w:space="0"/>
            </w:tcBorders>
            <w:noWrap w:val="0"/>
            <w:vAlign w:val="top"/>
          </w:tcPr>
          <w:p>
            <w:pPr>
              <w:spacing w:line="579" w:lineRule="exact"/>
              <w:jc w:val="center"/>
              <w:rPr>
                <w:rFonts w:ascii="仿宋_GB2312" w:hAnsi="Times New Roman"/>
                <w:b/>
                <w:sz w:val="32"/>
                <w:szCs w:val="32"/>
              </w:rPr>
            </w:pPr>
            <w:r>
              <w:rPr>
                <w:rFonts w:hint="eastAsia" w:ascii="仿宋_GB2312" w:hAnsi="Times New Roman"/>
                <w:b/>
                <w:sz w:val="32"/>
                <w:szCs w:val="32"/>
              </w:rPr>
              <w:t>检查方式</w:t>
            </w:r>
          </w:p>
        </w:tc>
        <w:tc>
          <w:tcPr>
            <w:tcW w:w="2694" w:type="dxa"/>
            <w:tcBorders>
              <w:top w:val="single" w:color="auto" w:sz="4" w:space="0"/>
              <w:left w:val="single" w:color="auto" w:sz="4" w:space="0"/>
              <w:bottom w:val="single" w:color="auto" w:sz="4" w:space="0"/>
              <w:right w:val="single" w:color="auto" w:sz="4" w:space="0"/>
            </w:tcBorders>
            <w:noWrap w:val="0"/>
            <w:vAlign w:val="top"/>
          </w:tcPr>
          <w:p>
            <w:pPr>
              <w:spacing w:line="579" w:lineRule="exact"/>
              <w:jc w:val="center"/>
              <w:rPr>
                <w:rFonts w:ascii="仿宋_GB2312" w:hAnsi="Times New Roman"/>
                <w:b/>
                <w:sz w:val="32"/>
                <w:szCs w:val="32"/>
              </w:rPr>
            </w:pPr>
            <w:r>
              <w:rPr>
                <w:rFonts w:hint="eastAsia" w:ascii="仿宋_GB2312" w:hAnsi="Times New Roman"/>
                <w:b/>
                <w:sz w:val="32"/>
                <w:szCs w:val="32"/>
              </w:rPr>
              <w:t>抽查结果</w:t>
            </w: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579" w:lineRule="exact"/>
              <w:jc w:val="center"/>
              <w:rPr>
                <w:rFonts w:ascii="仿宋_GB2312" w:hAnsi="Times New Roman"/>
                <w:b/>
                <w:sz w:val="32"/>
                <w:szCs w:val="32"/>
              </w:rPr>
            </w:pPr>
            <w:r>
              <w:rPr>
                <w:rFonts w:hint="eastAsia" w:ascii="仿宋_GB2312" w:hAnsi="Times New Roman"/>
                <w:b/>
                <w:sz w:val="32"/>
                <w:szCs w:val="32"/>
              </w:rPr>
              <w:t>处理情况</w:t>
            </w: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579" w:lineRule="exact"/>
              <w:jc w:val="center"/>
              <w:rPr>
                <w:rFonts w:ascii="仿宋_GB2312" w:hAnsi="Times New Roman"/>
                <w:b/>
                <w:sz w:val="32"/>
                <w:szCs w:val="32"/>
              </w:rPr>
            </w:pPr>
            <w:r>
              <w:rPr>
                <w:rFonts w:hint="eastAsia" w:ascii="仿宋_GB2312" w:hAnsi="Times New Roman"/>
                <w:b/>
                <w:sz w:val="32"/>
                <w:szCs w:val="32"/>
              </w:rPr>
              <w:t>检查人员</w:t>
            </w: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579" w:lineRule="exact"/>
              <w:jc w:val="center"/>
              <w:rPr>
                <w:rFonts w:ascii="仿宋_GB2312" w:hAnsi="Times New Roman"/>
                <w:b/>
                <w:sz w:val="32"/>
                <w:szCs w:val="32"/>
              </w:rPr>
            </w:pPr>
            <w:r>
              <w:rPr>
                <w:rFonts w:hint="eastAsia" w:ascii="仿宋_GB2312" w:hAnsi="Times New Roman"/>
                <w:b/>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01"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3118" w:type="dxa"/>
            <w:tcBorders>
              <w:top w:val="single" w:color="auto" w:sz="4" w:space="0"/>
              <w:left w:val="single" w:color="auto" w:sz="4" w:space="0"/>
              <w:bottom w:val="single" w:color="auto" w:sz="4" w:space="0"/>
              <w:right w:val="single" w:color="auto" w:sz="4" w:space="0"/>
            </w:tcBorders>
            <w:noWrap w:val="0"/>
            <w:vAlign w:val="bottom"/>
          </w:tcPr>
          <w:p>
            <w:pPr>
              <w:widowControl/>
              <w:jc w:val="left"/>
              <w:rPr>
                <w:rFonts w:ascii="Arial" w:hAnsi="Arial" w:eastAsia="宋体" w:cs="Arial"/>
                <w:kern w:val="0"/>
                <w:sz w:val="20"/>
                <w:szCs w:val="20"/>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hint="eastAsia" w:ascii="仿宋_GB2312" w:hAnsi="Times New Roman"/>
                <w:sz w:val="28"/>
                <w:szCs w:val="28"/>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仿宋_GB2312" w:hAnsi="宋体" w:cs="宋体"/>
                <w:kern w:val="0"/>
                <w:sz w:val="28"/>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579" w:lineRule="exact"/>
              <w:jc w:val="center"/>
              <w:rPr>
                <w:rFonts w:ascii="仿宋_GB2312" w:hAnsi="Times New Roman"/>
                <w:sz w:val="28"/>
                <w:szCs w:val="28"/>
              </w:rPr>
            </w:pPr>
          </w:p>
        </w:tc>
        <w:tc>
          <w:tcPr>
            <w:tcW w:w="311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widowControl/>
              <w:jc w:val="left"/>
              <w:rPr>
                <w:rFonts w:ascii="Arial" w:hAnsi="Arial" w:eastAsia="宋体" w:cs="Arial"/>
                <w:kern w:val="0"/>
                <w:sz w:val="20"/>
                <w:szCs w:val="20"/>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仿宋_GB2312" w:hAnsi="宋体" w:cs="宋体"/>
                <w:kern w:val="0"/>
                <w:sz w:val="28"/>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579" w:lineRule="exact"/>
              <w:jc w:val="center"/>
              <w:rPr>
                <w:rFonts w:ascii="仿宋_GB2312" w:hAnsi="Times New Roman"/>
                <w:sz w:val="28"/>
                <w:szCs w:val="28"/>
              </w:rPr>
            </w:pPr>
          </w:p>
        </w:tc>
        <w:tc>
          <w:tcPr>
            <w:tcW w:w="311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widowControl/>
              <w:jc w:val="left"/>
              <w:rPr>
                <w:rFonts w:ascii="Arial" w:hAnsi="Arial" w:eastAsia="宋体" w:cs="Arial"/>
                <w:kern w:val="0"/>
                <w:sz w:val="20"/>
                <w:szCs w:val="20"/>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仿宋_GB2312" w:hAnsi="宋体" w:cs="宋体"/>
                <w:kern w:val="0"/>
                <w:sz w:val="28"/>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579" w:lineRule="exact"/>
              <w:jc w:val="center"/>
              <w:rPr>
                <w:rFonts w:ascii="仿宋_GB2312" w:hAnsi="Times New Roman"/>
                <w:sz w:val="28"/>
                <w:szCs w:val="28"/>
              </w:rPr>
            </w:pPr>
          </w:p>
        </w:tc>
        <w:tc>
          <w:tcPr>
            <w:tcW w:w="311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widowControl/>
              <w:jc w:val="left"/>
              <w:rPr>
                <w:rFonts w:ascii="Arial" w:hAnsi="Arial" w:eastAsia="宋体" w:cs="Arial"/>
                <w:kern w:val="0"/>
                <w:sz w:val="20"/>
                <w:szCs w:val="20"/>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仿宋_GB2312" w:hAnsi="宋体" w:cs="宋体"/>
                <w:kern w:val="0"/>
                <w:sz w:val="28"/>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1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579" w:lineRule="exact"/>
              <w:jc w:val="center"/>
              <w:rPr>
                <w:rFonts w:ascii="仿宋_GB2312" w:hAnsi="Times New Roman"/>
                <w:sz w:val="28"/>
                <w:szCs w:val="28"/>
              </w:rPr>
            </w:pPr>
          </w:p>
        </w:tc>
        <w:tc>
          <w:tcPr>
            <w:tcW w:w="311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widowControl/>
              <w:jc w:val="left"/>
              <w:rPr>
                <w:rFonts w:ascii="Arial" w:hAnsi="Arial" w:eastAsia="宋体" w:cs="Arial"/>
                <w:kern w:val="0"/>
                <w:sz w:val="20"/>
                <w:szCs w:val="20"/>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仿宋_GB2312" w:hAnsi="宋体" w:cs="宋体"/>
                <w:kern w:val="0"/>
                <w:sz w:val="28"/>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3118" w:type="dxa"/>
            <w:tcBorders>
              <w:top w:val="single" w:color="auto" w:sz="4" w:space="0"/>
              <w:left w:val="single" w:color="auto" w:sz="4" w:space="0"/>
              <w:bottom w:val="single" w:color="auto" w:sz="4" w:space="0"/>
              <w:right w:val="single" w:color="auto" w:sz="4" w:space="0"/>
            </w:tcBorders>
            <w:noWrap w:val="0"/>
            <w:vAlign w:val="bottom"/>
          </w:tcPr>
          <w:p>
            <w:pPr>
              <w:widowControl/>
              <w:jc w:val="left"/>
              <w:rPr>
                <w:rFonts w:ascii="Arial" w:hAnsi="Arial" w:eastAsia="宋体" w:cs="Arial"/>
                <w:kern w:val="0"/>
                <w:sz w:val="20"/>
                <w:szCs w:val="20"/>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仿宋_GB2312" w:hAnsi="宋体" w:cs="宋体"/>
                <w:kern w:val="0"/>
                <w:sz w:val="28"/>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3118" w:type="dxa"/>
            <w:tcBorders>
              <w:top w:val="single" w:color="auto" w:sz="4" w:space="0"/>
              <w:left w:val="single" w:color="auto" w:sz="4" w:space="0"/>
              <w:bottom w:val="single" w:color="auto" w:sz="4" w:space="0"/>
              <w:right w:val="single" w:color="auto" w:sz="4" w:space="0"/>
            </w:tcBorders>
            <w:noWrap w:val="0"/>
            <w:vAlign w:val="bottom"/>
          </w:tcPr>
          <w:p>
            <w:pPr>
              <w:widowControl/>
              <w:jc w:val="left"/>
              <w:rPr>
                <w:rFonts w:ascii="Arial" w:hAnsi="Arial" w:eastAsia="宋体" w:cs="Arial"/>
                <w:kern w:val="0"/>
                <w:sz w:val="20"/>
                <w:szCs w:val="20"/>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579" w:lineRule="exact"/>
              <w:jc w:val="center"/>
              <w:rPr>
                <w:rFonts w:ascii="仿宋_GB2312" w:hAnsi="Times New Roman"/>
                <w:sz w:val="28"/>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仿宋_GB2312" w:hAnsi="宋体" w:cs="宋体"/>
                <w:kern w:val="0"/>
                <w:sz w:val="28"/>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cs="宋体"/>
                <w:kern w:val="0"/>
                <w:sz w:val="28"/>
                <w:szCs w:val="28"/>
              </w:rPr>
            </w:pPr>
          </w:p>
        </w:tc>
      </w:tr>
    </w:tbl>
    <w:p>
      <w:pPr>
        <w:jc w:val="both"/>
        <w:rPr>
          <w:rFonts w:ascii="仿宋_GB2312" w:eastAsia="仿宋_GB2312"/>
          <w:color w:val="000000" w:themeColor="text1"/>
          <w:sz w:val="32"/>
          <w:szCs w:val="32"/>
          <w14:textFill>
            <w14:solidFill>
              <w14:schemeClr w14:val="tx1"/>
            </w14:solidFill>
          </w14:textFill>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123825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9.7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GM70A9QAAAAHAQAADwAAAAAAAAABACAAAAA4AAAAZHJzL2Rvd25yZXYueG1sUEsB&#10;AhQAFAAAAAgAh07iQEkIsxAcAgAAKQQAAA4AAAAAAAAAAQAgAAAAOQEAAGRycy9lMm9Eb2MueG1s&#10;UEsFBgAAAAAGAAYAWQEAAMcFAAAAAA==&#10;">
              <v:fill on="f" focussize="0,0"/>
              <v:stroke on="f" weight="0.5pt"/>
              <v:imagedata o:title=""/>
              <o:lock v:ext="edit" aspectratio="f"/>
              <v:textbox inset="0mm,0mm,0mm,0mm" style="mso-fit-shape-to-text:t;">
                <w:txbxContent>
                  <w:p>
                    <w:pPr>
                      <w:pStyle w:val="4"/>
                      <w:wordWrap w:val="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123825</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9.75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BjO9APUAAAABwEAAA8AAAAAAAAAAQAgAAAAOAAAAGRycy9kb3ducmV2LnhtbFBL&#10;AQIUABQAAAAIAIdO4kCA8TPSHQIAACkEAAAOAAAAAAAAAAEAIAAAADkBAABkcnMvZTJvRG9jLnht&#10;bFBLBQYAAAAABgAGAFkBAADIBQAAAAA=&#10;">
              <v:fill on="f" focussize="0,0"/>
              <v:stroke on="f" weight="0.5pt"/>
              <v:imagedata o:title=""/>
              <o:lock v:ext="edit" aspectratio="f"/>
              <v:textbox inset="0mm,0mm,0mm,0mm" style="mso-fit-shape-to-text:t;">
                <w:txbxContent>
                  <w:p>
                    <w:pPr>
                      <w:pStyle w:val="4"/>
                      <w:wordWrap w:val="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4ZjBmZDljZDVmMDkxZTE4ZmJhOGRlOGNiZTZkZjEifQ=="/>
  </w:docVars>
  <w:rsids>
    <w:rsidRoot w:val="00A87542"/>
    <w:rsid w:val="000B32E9"/>
    <w:rsid w:val="000C0C4F"/>
    <w:rsid w:val="00122CBB"/>
    <w:rsid w:val="0018142C"/>
    <w:rsid w:val="00337DC5"/>
    <w:rsid w:val="00370ECF"/>
    <w:rsid w:val="003B4671"/>
    <w:rsid w:val="00420E92"/>
    <w:rsid w:val="004241F4"/>
    <w:rsid w:val="004868E3"/>
    <w:rsid w:val="004D025B"/>
    <w:rsid w:val="004E47BD"/>
    <w:rsid w:val="00513455"/>
    <w:rsid w:val="007D392C"/>
    <w:rsid w:val="008103FE"/>
    <w:rsid w:val="008814F5"/>
    <w:rsid w:val="00941137"/>
    <w:rsid w:val="00966BC4"/>
    <w:rsid w:val="009C0FD8"/>
    <w:rsid w:val="00A36CFF"/>
    <w:rsid w:val="00A87542"/>
    <w:rsid w:val="00AA42F0"/>
    <w:rsid w:val="00B04890"/>
    <w:rsid w:val="00B058EB"/>
    <w:rsid w:val="00B223CE"/>
    <w:rsid w:val="00BE0A8D"/>
    <w:rsid w:val="00C6793F"/>
    <w:rsid w:val="00CB1C8A"/>
    <w:rsid w:val="00D54D9A"/>
    <w:rsid w:val="00D62595"/>
    <w:rsid w:val="00F1681B"/>
    <w:rsid w:val="00F97F13"/>
    <w:rsid w:val="03956D5D"/>
    <w:rsid w:val="0BB57833"/>
    <w:rsid w:val="0F7E2A5F"/>
    <w:rsid w:val="2076109D"/>
    <w:rsid w:val="20E85DAE"/>
    <w:rsid w:val="21410C5E"/>
    <w:rsid w:val="24EE0F78"/>
    <w:rsid w:val="25932478"/>
    <w:rsid w:val="26EB57BA"/>
    <w:rsid w:val="294D231A"/>
    <w:rsid w:val="29642508"/>
    <w:rsid w:val="2D9F8200"/>
    <w:rsid w:val="2DA261F6"/>
    <w:rsid w:val="2F3718BE"/>
    <w:rsid w:val="3331347B"/>
    <w:rsid w:val="33EF3ECC"/>
    <w:rsid w:val="351849C1"/>
    <w:rsid w:val="37DE438E"/>
    <w:rsid w:val="3B3A770E"/>
    <w:rsid w:val="4BEA27BB"/>
    <w:rsid w:val="4D1E329F"/>
    <w:rsid w:val="55A460AF"/>
    <w:rsid w:val="57306817"/>
    <w:rsid w:val="59CE26EE"/>
    <w:rsid w:val="5AAF6748"/>
    <w:rsid w:val="5D1F27A5"/>
    <w:rsid w:val="61D74A8B"/>
    <w:rsid w:val="622C6BAB"/>
    <w:rsid w:val="662233E1"/>
    <w:rsid w:val="6D26076D"/>
    <w:rsid w:val="6E170937"/>
    <w:rsid w:val="71C94738"/>
    <w:rsid w:val="72D01C9E"/>
    <w:rsid w:val="748403B2"/>
    <w:rsid w:val="77D61BF0"/>
    <w:rsid w:val="79CA21BC"/>
    <w:rsid w:val="7B7FADAE"/>
    <w:rsid w:val="7DA54A14"/>
    <w:rsid w:val="7E671D13"/>
    <w:rsid w:val="7FEC4840"/>
    <w:rsid w:val="F2BDED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1"/>
    <w:semiHidden/>
    <w:unhideWhenUsed/>
    <w:qFormat/>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9">
    <w:name w:val="页眉 Char"/>
    <w:basedOn w:val="7"/>
    <w:link w:val="5"/>
    <w:semiHidden/>
    <w:qFormat/>
    <w:uiPriority w:val="99"/>
    <w:rPr>
      <w:kern w:val="2"/>
      <w:sz w:val="18"/>
      <w:szCs w:val="18"/>
    </w:rPr>
  </w:style>
  <w:style w:type="character" w:customStyle="1" w:styleId="10">
    <w:name w:val="页脚 Char"/>
    <w:basedOn w:val="7"/>
    <w:link w:val="4"/>
    <w:semiHidden/>
    <w:qFormat/>
    <w:uiPriority w:val="99"/>
    <w:rPr>
      <w:kern w:val="2"/>
      <w:sz w:val="18"/>
      <w:szCs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2414</Words>
  <Characters>2463</Characters>
  <Lines>1</Lines>
  <Paragraphs>4</Paragraphs>
  <TotalTime>41</TotalTime>
  <ScaleCrop>false</ScaleCrop>
  <LinksUpToDate>false</LinksUpToDate>
  <CharactersWithSpaces>2560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2021-05-29T09:20:00Z</dcterms:created>
  <dc:creator>张杰(单位领导)</dc:creator>
  <cp:lastModifiedBy>商丘市局文秘:排版</cp:lastModifiedBy>
  <cp:lastPrinted>2024-08-07T23:51:00Z</cp:lastPrinted>
  <dcterms:modified xsi:type="dcterms:W3CDTF">2024-08-07T17:22:16Z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25CFCF5B55FC4ED68B8D6EACAF4F2466_13</vt:lpwstr>
  </property>
</Properties>
</file>